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661F6" w14:textId="77777777" w:rsidR="003A719B" w:rsidRDefault="003A719B">
      <w:pPr>
        <w:overflowPunct w:val="0"/>
        <w:rPr>
          <w:rFonts w:ascii="Arial" w:hAnsi="Arial" w:cs="Arial"/>
        </w:rPr>
      </w:pPr>
    </w:p>
    <w:p w14:paraId="2148BD96" w14:textId="77777777" w:rsidR="003A719B" w:rsidRDefault="00DF4CA4">
      <w:pPr>
        <w:jc w:val="center"/>
        <w:rPr>
          <w:rFonts w:ascii="Arial" w:hAnsi="Arial" w:cs="Arial"/>
          <w:bCs/>
          <w:sz w:val="28"/>
          <w:szCs w:val="28"/>
        </w:rPr>
      </w:pPr>
      <w:r>
        <w:rPr>
          <w:rFonts w:ascii="Arial" w:hAnsi="Arial" w:cs="Arial"/>
          <w:bCs/>
          <w:sz w:val="28"/>
          <w:szCs w:val="28"/>
        </w:rPr>
        <w:t>Legge n° 190 del 06/11/2012</w:t>
      </w:r>
    </w:p>
    <w:p w14:paraId="7E9DE534" w14:textId="77777777" w:rsidR="003A719B" w:rsidRDefault="00DF4CA4">
      <w:pPr>
        <w:overflowPunct w:val="0"/>
        <w:jc w:val="center"/>
        <w:rPr>
          <w:rFonts w:ascii="Arial" w:hAnsi="Arial" w:cs="Arial"/>
          <w:bCs/>
          <w:sz w:val="28"/>
          <w:szCs w:val="28"/>
        </w:rPr>
      </w:pPr>
      <w:r>
        <w:rPr>
          <w:rFonts w:ascii="Arial" w:hAnsi="Arial" w:cs="Arial"/>
          <w:bCs/>
          <w:sz w:val="28"/>
          <w:szCs w:val="28"/>
        </w:rPr>
        <w:t>Disposizioni per la prevenzione e la repressione della corruzione</w:t>
      </w:r>
    </w:p>
    <w:p w14:paraId="0A6EECB3" w14:textId="77777777" w:rsidR="003A719B" w:rsidRDefault="00DF4CA4">
      <w:pPr>
        <w:overflowPunct w:val="0"/>
        <w:jc w:val="center"/>
        <w:rPr>
          <w:rFonts w:ascii="Arial" w:hAnsi="Arial" w:cs="Arial"/>
          <w:bCs/>
          <w:sz w:val="28"/>
          <w:szCs w:val="28"/>
        </w:rPr>
      </w:pPr>
      <w:r>
        <w:rPr>
          <w:rFonts w:ascii="Arial" w:hAnsi="Arial" w:cs="Arial"/>
          <w:bCs/>
          <w:sz w:val="28"/>
          <w:szCs w:val="28"/>
        </w:rPr>
        <w:t>e dell’illegalità nella pubblica amministrazione</w:t>
      </w:r>
    </w:p>
    <w:p w14:paraId="5C7B4101" w14:textId="77777777" w:rsidR="003A719B" w:rsidRDefault="003A719B">
      <w:pPr>
        <w:pStyle w:val="Standard"/>
        <w:spacing w:before="80" w:after="120"/>
        <w:jc w:val="center"/>
        <w:rPr>
          <w:rFonts w:ascii="Arial" w:hAnsi="Arial" w:cs="Arial"/>
          <w:b/>
          <w:color w:val="808080"/>
          <w:sz w:val="21"/>
          <w:szCs w:val="21"/>
        </w:rPr>
      </w:pPr>
    </w:p>
    <w:p w14:paraId="7F79A31E" w14:textId="77777777" w:rsidR="003A719B" w:rsidRDefault="003A719B">
      <w:pPr>
        <w:pStyle w:val="Standard"/>
        <w:spacing w:before="80" w:after="120"/>
        <w:rPr>
          <w:rFonts w:ascii="Arial" w:hAnsi="Arial" w:cs="Arial"/>
          <w:b/>
          <w:color w:val="808080"/>
          <w:sz w:val="21"/>
          <w:szCs w:val="21"/>
        </w:rPr>
      </w:pPr>
    </w:p>
    <w:p w14:paraId="7873BB58" w14:textId="77777777" w:rsidR="003A719B" w:rsidRDefault="003A719B">
      <w:pPr>
        <w:pStyle w:val="Titolosommario"/>
        <w:spacing w:before="80" w:after="120"/>
        <w:outlineLvl w:val="9"/>
        <w:rPr>
          <w:rFonts w:ascii="Arial" w:hAnsi="Arial" w:cs="Arial"/>
          <w:b w:val="0"/>
          <w:sz w:val="21"/>
          <w:szCs w:val="21"/>
        </w:rPr>
      </w:pPr>
    </w:p>
    <w:p w14:paraId="0AE70C25" w14:textId="77777777" w:rsidR="003A719B" w:rsidRDefault="003A719B">
      <w:pPr>
        <w:pStyle w:val="Standard"/>
        <w:spacing w:before="80" w:after="120"/>
        <w:rPr>
          <w:rFonts w:ascii="Arial" w:hAnsi="Arial" w:cs="Arial"/>
          <w:sz w:val="21"/>
          <w:szCs w:val="21"/>
        </w:rPr>
      </w:pPr>
    </w:p>
    <w:p w14:paraId="5CC98D94" w14:textId="77777777" w:rsidR="003A719B" w:rsidRDefault="003A719B">
      <w:pPr>
        <w:pStyle w:val="Standard"/>
        <w:spacing w:before="80" w:after="120"/>
        <w:rPr>
          <w:rFonts w:ascii="Arial" w:hAnsi="Arial" w:cs="Arial"/>
          <w:sz w:val="21"/>
          <w:szCs w:val="21"/>
        </w:rPr>
      </w:pPr>
    </w:p>
    <w:p w14:paraId="3B495210" w14:textId="77777777" w:rsidR="003A719B" w:rsidRDefault="00DF4CA4">
      <w:pPr>
        <w:overflowPunct w:val="0"/>
      </w:pPr>
      <w:r>
        <w:rPr>
          <w:rFonts w:ascii="Arial" w:eastAsia="Times New Roman" w:hAnsi="Arial" w:cs="Arial"/>
          <w:sz w:val="26"/>
          <w:szCs w:val="26"/>
          <w:lang w:eastAsia="it-IT"/>
        </w:rPr>
        <w:t xml:space="preserve">Approvato con Delibera della giunta </w:t>
      </w:r>
      <w:r>
        <w:rPr>
          <w:rFonts w:ascii="Arial" w:eastAsia="Times New Roman" w:hAnsi="Arial" w:cs="Arial"/>
          <w:sz w:val="26"/>
          <w:szCs w:val="26"/>
          <w:shd w:val="clear" w:color="auto" w:fill="FFFF00"/>
          <w:lang w:eastAsia="it-IT"/>
        </w:rPr>
        <w:t>comunale n.   /2022 del  01.2022</w:t>
      </w:r>
    </w:p>
    <w:p w14:paraId="06DE0DDA" w14:textId="77777777" w:rsidR="003A719B" w:rsidRDefault="00DF4CA4">
      <w:pPr>
        <w:overflowPunct w:val="0"/>
        <w:rPr>
          <w:rFonts w:ascii="Arial" w:eastAsia="Times New Roman" w:hAnsi="Arial" w:cs="Arial"/>
          <w:sz w:val="26"/>
          <w:szCs w:val="26"/>
          <w:lang w:eastAsia="it-IT"/>
        </w:rPr>
      </w:pPr>
      <w:r>
        <w:rPr>
          <w:rFonts w:ascii="Arial" w:eastAsia="Times New Roman" w:hAnsi="Arial" w:cs="Arial"/>
          <w:sz w:val="26"/>
          <w:szCs w:val="26"/>
          <w:lang w:eastAsia="it-IT"/>
        </w:rPr>
        <w:t xml:space="preserve">Il </w:t>
      </w:r>
      <w:r>
        <w:rPr>
          <w:rFonts w:ascii="Arial" w:eastAsia="Times New Roman" w:hAnsi="Arial" w:cs="Arial"/>
          <w:sz w:val="26"/>
          <w:szCs w:val="26"/>
          <w:lang w:eastAsia="it-IT"/>
        </w:rPr>
        <w:t>Segretario</w:t>
      </w:r>
    </w:p>
    <w:p w14:paraId="0FC6161A" w14:textId="77777777" w:rsidR="003A719B" w:rsidRDefault="00DF4CA4">
      <w:pPr>
        <w:overflowPunct w:val="0"/>
        <w:rPr>
          <w:rFonts w:ascii="Arial" w:eastAsia="Times New Roman" w:hAnsi="Arial" w:cs="Arial"/>
          <w:sz w:val="26"/>
          <w:szCs w:val="26"/>
          <w:lang w:eastAsia="it-IT"/>
        </w:rPr>
      </w:pPr>
      <w:r>
        <w:rPr>
          <w:rFonts w:ascii="Arial" w:eastAsia="Times New Roman" w:hAnsi="Arial" w:cs="Arial"/>
          <w:sz w:val="26"/>
          <w:szCs w:val="26"/>
          <w:lang w:eastAsia="it-IT"/>
        </w:rPr>
        <w:t>Dott. Silvio Rossi</w:t>
      </w:r>
    </w:p>
    <w:p w14:paraId="3D4A95DF" w14:textId="77777777" w:rsidR="003A719B" w:rsidRDefault="003A719B">
      <w:pPr>
        <w:overflowPunct w:val="0"/>
        <w:rPr>
          <w:rFonts w:ascii="Arial" w:hAnsi="Arial" w:cs="Arial"/>
        </w:rPr>
      </w:pPr>
    </w:p>
    <w:p w14:paraId="71646F37" w14:textId="77777777" w:rsidR="003A719B" w:rsidRDefault="00DF4CA4">
      <w:pPr>
        <w:pStyle w:val="ContentsHeading"/>
        <w:tabs>
          <w:tab w:val="right" w:leader="dot" w:pos="9972"/>
        </w:tabs>
      </w:pPr>
      <w:r>
        <w:rPr>
          <w:rFonts w:ascii="Times New Roman" w:eastAsia="SimSun" w:hAnsi="Times New Roman"/>
          <w:b w:val="0"/>
          <w:bCs w:val="0"/>
          <w:sz w:val="24"/>
          <w:szCs w:val="24"/>
        </w:rPr>
        <w:fldChar w:fldCharType="begin"/>
      </w:r>
      <w:r>
        <w:instrText xml:space="preserve"> TOC \o "1-9" \u \l 1-9 \h </w:instrText>
      </w:r>
      <w:r>
        <w:rPr>
          <w:rFonts w:ascii="Times New Roman" w:eastAsia="SimSun" w:hAnsi="Times New Roman"/>
          <w:b w:val="0"/>
          <w:bCs w:val="0"/>
          <w:sz w:val="24"/>
          <w:szCs w:val="24"/>
        </w:rPr>
        <w:fldChar w:fldCharType="separate"/>
      </w:r>
      <w:r>
        <w:t>Indice generale</w:t>
      </w:r>
    </w:p>
    <w:p w14:paraId="350B7DB4" w14:textId="77777777" w:rsidR="003A719B" w:rsidRDefault="00DF4CA4">
      <w:pPr>
        <w:pStyle w:val="Contents1"/>
        <w:tabs>
          <w:tab w:val="right" w:leader="dot" w:pos="9922"/>
        </w:tabs>
      </w:pPr>
      <w:hyperlink r:id="rId7" w:history="1">
        <w:r>
          <w:t>PREMESSA</w:t>
        </w:r>
        <w:r>
          <w:tab/>
          <w:t>4</w:t>
        </w:r>
      </w:hyperlink>
    </w:p>
    <w:p w14:paraId="14E22B73" w14:textId="77777777" w:rsidR="003A719B" w:rsidRDefault="00DF4CA4">
      <w:pPr>
        <w:pStyle w:val="Contents1"/>
        <w:tabs>
          <w:tab w:val="right" w:leader="dot" w:pos="9922"/>
        </w:tabs>
      </w:pPr>
      <w:hyperlink r:id="rId8" w:history="1">
        <w:r>
          <w:t xml:space="preserve">1. IL RESPONSABILE DELLA PREVENZIONE DELLA CORRUZIONE E DELLA </w:t>
        </w:r>
        <w:r>
          <w:t>TRASPARENZA (RPCT)</w:t>
        </w:r>
        <w:r>
          <w:tab/>
          <w:t>5</w:t>
        </w:r>
      </w:hyperlink>
    </w:p>
    <w:p w14:paraId="43A99213" w14:textId="77777777" w:rsidR="003A719B" w:rsidRDefault="00DF4CA4">
      <w:pPr>
        <w:pStyle w:val="Standard"/>
        <w:tabs>
          <w:tab w:val="right" w:leader="dot" w:pos="9972"/>
        </w:tabs>
      </w:pPr>
      <w:r>
        <w:rPr>
          <w:b/>
          <w:bCs/>
        </w:rPr>
        <w:t>2</w:t>
      </w:r>
      <w:r>
        <w:t>.</w:t>
      </w:r>
      <w:r>
        <w:rPr>
          <w:rFonts w:ascii="Arial" w:hAnsi="Arial" w:cs="Arial"/>
        </w:rPr>
        <w:t xml:space="preserve"> IL </w:t>
      </w:r>
      <w:r>
        <w:rPr>
          <w:rFonts w:ascii="Arial" w:hAnsi="Arial" w:cs="Arial"/>
          <w:b/>
          <w:bCs/>
          <w:spacing w:val="2"/>
        </w:rPr>
        <w:t>G</w:t>
      </w:r>
      <w:r>
        <w:rPr>
          <w:rFonts w:ascii="Arial" w:hAnsi="Arial" w:cs="Arial"/>
          <w:b/>
          <w:bCs/>
        </w:rPr>
        <w:t>ESTORE DELLE SEGNALAZIONI DI OPERAZIONI SOSPETTE DI RICICLAGGIO E DI FINANZIAMENTO DEL TERRORISMO</w:t>
      </w:r>
    </w:p>
    <w:p w14:paraId="5B55BEB0" w14:textId="77777777" w:rsidR="003A719B" w:rsidRDefault="00DF4CA4">
      <w:pPr>
        <w:pStyle w:val="Contents1"/>
        <w:tabs>
          <w:tab w:val="right" w:leader="dot" w:pos="9922"/>
        </w:tabs>
      </w:pPr>
      <w:hyperlink r:id="rId9" w:history="1">
        <w:r>
          <w:t>3. IL CONTESTO ESTERNO ED INTERNO</w:t>
        </w:r>
        <w:r>
          <w:tab/>
          <w:t>6</w:t>
        </w:r>
      </w:hyperlink>
    </w:p>
    <w:p w14:paraId="03815356" w14:textId="77777777" w:rsidR="003A719B" w:rsidRDefault="00DF4CA4">
      <w:pPr>
        <w:pStyle w:val="Contents2"/>
        <w:tabs>
          <w:tab w:val="right" w:leader="dot" w:pos="10347"/>
        </w:tabs>
      </w:pPr>
      <w:hyperlink r:id="rId10" w:history="1">
        <w:r>
          <w:t>2.1. LA STRUTTURA ORGANIZZATIVA</w:t>
        </w:r>
        <w:r>
          <w:tab/>
        </w:r>
      </w:hyperlink>
      <w:hyperlink r:id="rId11" w:history="1">
        <w:r>
          <w:rPr>
            <w:b/>
          </w:rPr>
          <w:t>8</w:t>
        </w:r>
      </w:hyperlink>
    </w:p>
    <w:p w14:paraId="1366C537" w14:textId="77777777" w:rsidR="003A719B" w:rsidRDefault="00DF4CA4">
      <w:pPr>
        <w:pStyle w:val="Contents1"/>
        <w:tabs>
          <w:tab w:val="right" w:leader="dot" w:pos="9922"/>
        </w:tabs>
      </w:pPr>
      <w:hyperlink r:id="rId12" w:history="1">
        <w:r>
          <w:t>4. IL SUPPORTO DEL CONSORZIO DEI COMUNI TRENTINI</w:t>
        </w:r>
        <w:r>
          <w:tab/>
          <w:t>10</w:t>
        </w:r>
      </w:hyperlink>
    </w:p>
    <w:p w14:paraId="68A88095" w14:textId="77777777" w:rsidR="003A719B" w:rsidRDefault="00DF4CA4">
      <w:pPr>
        <w:pStyle w:val="Contents1"/>
        <w:tabs>
          <w:tab w:val="right" w:leader="dot" w:pos="9922"/>
        </w:tabs>
      </w:pPr>
      <w:hyperlink r:id="rId13" w:history="1">
        <w:r>
          <w:t>5. PRINCI</w:t>
        </w:r>
        <w:r>
          <w:t>PIO DI DELEGA – OBBLIGO DI COLLABORAZIONE – CORRESPONSABILITÀ</w:t>
        </w:r>
        <w:r>
          <w:tab/>
          <w:t>10</w:t>
        </w:r>
      </w:hyperlink>
    </w:p>
    <w:p w14:paraId="2359B769" w14:textId="77777777" w:rsidR="003A719B" w:rsidRDefault="00DF4CA4">
      <w:pPr>
        <w:pStyle w:val="Contents1"/>
        <w:tabs>
          <w:tab w:val="right" w:leader="dot" w:pos="9922"/>
        </w:tabs>
      </w:pPr>
      <w:hyperlink r:id="rId14" w:history="1">
        <w:r>
          <w:t>6. LA FINALITA’ DEL PIANO</w:t>
        </w:r>
        <w:r>
          <w:tab/>
          <w:t>11</w:t>
        </w:r>
      </w:hyperlink>
    </w:p>
    <w:p w14:paraId="43DE0478" w14:textId="77777777" w:rsidR="003A719B" w:rsidRDefault="00DF4CA4">
      <w:pPr>
        <w:pStyle w:val="Contents1"/>
        <w:tabs>
          <w:tab w:val="right" w:leader="dot" w:pos="9922"/>
        </w:tabs>
      </w:pPr>
      <w:hyperlink r:id="rId15" w:history="1">
        <w:r>
          <w:t xml:space="preserve">7. L’APPROCCIO METODOLOGICO ADOTTATO PER LA COSTRUZIONE DEL </w:t>
        </w:r>
        <w:r>
          <w:t>PIANO</w:t>
        </w:r>
        <w:r>
          <w:tab/>
          <w:t>11</w:t>
        </w:r>
      </w:hyperlink>
    </w:p>
    <w:p w14:paraId="375E5AD1" w14:textId="77777777" w:rsidR="003A719B" w:rsidRDefault="00DF4CA4">
      <w:pPr>
        <w:pStyle w:val="Contents1"/>
        <w:tabs>
          <w:tab w:val="right" w:leader="dot" w:pos="9922"/>
        </w:tabs>
      </w:pPr>
      <w:hyperlink r:id="rId16" w:history="1">
        <w:r>
          <w:t>8. IL PERCORSO DI COSTRUZIONE DEL PIANO</w:t>
        </w:r>
        <w:r>
          <w:tab/>
          <w:t>12</w:t>
        </w:r>
      </w:hyperlink>
    </w:p>
    <w:p w14:paraId="39CEDAFE" w14:textId="77777777" w:rsidR="003A719B" w:rsidRDefault="00DF4CA4">
      <w:pPr>
        <w:pStyle w:val="Contents2"/>
        <w:tabs>
          <w:tab w:val="right" w:leader="dot" w:pos="10347"/>
        </w:tabs>
      </w:pPr>
      <w:hyperlink r:id="rId17" w:history="1">
        <w:r>
          <w:t>8.1 GLI ASPETTI PRESI IN CONSIDERAZIONE</w:t>
        </w:r>
        <w:r>
          <w:tab/>
          <w:t>12</w:t>
        </w:r>
      </w:hyperlink>
    </w:p>
    <w:p w14:paraId="4FB41EA9" w14:textId="77777777" w:rsidR="003A719B" w:rsidRDefault="00DF4CA4">
      <w:pPr>
        <w:pStyle w:val="Contents2"/>
        <w:tabs>
          <w:tab w:val="right" w:leader="dot" w:pos="10347"/>
        </w:tabs>
      </w:pPr>
      <w:hyperlink r:id="rId18" w:history="1">
        <w:r>
          <w:t>8.2 SENS</w:t>
        </w:r>
        <w:r>
          <w:t>IBILIZZAZIONE DEI RESPONSABILI DI SERVIZIO E CONDIVISIONE DELL’APPROCCIO</w:t>
        </w:r>
        <w:r>
          <w:tab/>
          <w:t>13</w:t>
        </w:r>
      </w:hyperlink>
    </w:p>
    <w:p w14:paraId="4C0911CF" w14:textId="77777777" w:rsidR="003A719B" w:rsidRDefault="00DF4CA4">
      <w:pPr>
        <w:pStyle w:val="Contents2"/>
        <w:tabs>
          <w:tab w:val="right" w:leader="dot" w:pos="10347"/>
        </w:tabs>
      </w:pPr>
      <w:hyperlink r:id="rId19" w:history="1">
        <w:r>
          <w:t>8.3 INDIVIDUAZIONE DEI PROCESSI A RISCHIO E DEI POSSIBILI RISCHI</w:t>
        </w:r>
        <w:r>
          <w:tab/>
          <w:t>13</w:t>
        </w:r>
      </w:hyperlink>
    </w:p>
    <w:p w14:paraId="12FD18EE" w14:textId="77777777" w:rsidR="003A719B" w:rsidRDefault="00DF4CA4">
      <w:pPr>
        <w:pStyle w:val="Contents2"/>
        <w:tabs>
          <w:tab w:val="right" w:leader="dot" w:pos="10347"/>
        </w:tabs>
      </w:pPr>
      <w:hyperlink r:id="rId20" w:history="1">
        <w:r>
          <w:t>8.4 AZIONI</w:t>
        </w:r>
        <w:r>
          <w:t xml:space="preserve"> PREVENTIVE E CONTROLLI</w:t>
        </w:r>
        <w:r>
          <w:tab/>
          <w:t>14</w:t>
        </w:r>
      </w:hyperlink>
    </w:p>
    <w:p w14:paraId="12B21710" w14:textId="77777777" w:rsidR="003A719B" w:rsidRDefault="00DF4CA4">
      <w:pPr>
        <w:pStyle w:val="Contents2"/>
        <w:tabs>
          <w:tab w:val="right" w:leader="dot" w:pos="10347"/>
        </w:tabs>
      </w:pPr>
      <w:hyperlink r:id="rId21" w:history="1">
        <w:r>
          <w:t>8.5 STESURA E APPROVAZIONE DEL PTPTC</w:t>
        </w:r>
        <w:r>
          <w:tab/>
          <w:t>15</w:t>
        </w:r>
      </w:hyperlink>
    </w:p>
    <w:p w14:paraId="552B87EB" w14:textId="77777777" w:rsidR="003A719B" w:rsidRDefault="00DF4CA4">
      <w:pPr>
        <w:pStyle w:val="Contents2"/>
        <w:tabs>
          <w:tab w:val="right" w:leader="dot" w:pos="10347"/>
        </w:tabs>
      </w:pPr>
      <w:hyperlink r:id="rId22" w:history="1">
        <w:r>
          <w:t>8.6 FORMAZIONE</w:t>
        </w:r>
        <w:r>
          <w:tab/>
          <w:t>15</w:t>
        </w:r>
      </w:hyperlink>
    </w:p>
    <w:p w14:paraId="020A2AAD" w14:textId="77777777" w:rsidR="003A719B" w:rsidRDefault="00DF4CA4">
      <w:pPr>
        <w:pStyle w:val="Contents1"/>
        <w:tabs>
          <w:tab w:val="right" w:leader="dot" w:pos="9922"/>
        </w:tabs>
      </w:pPr>
      <w:hyperlink r:id="rId23" w:history="1">
        <w:r>
          <w:t>9. LE MISURE ORGANIZZATIVE DI CARATTERE GENERALE</w:t>
        </w:r>
        <w:r>
          <w:tab/>
          <w:t>15</w:t>
        </w:r>
      </w:hyperlink>
    </w:p>
    <w:p w14:paraId="5B13DC54" w14:textId="77777777" w:rsidR="003A719B" w:rsidRDefault="00DF4CA4">
      <w:pPr>
        <w:pStyle w:val="Contents2"/>
        <w:tabs>
          <w:tab w:val="right" w:leader="dot" w:pos="10347"/>
        </w:tabs>
      </w:pPr>
      <w:hyperlink r:id="rId24" w:history="1">
        <w:r>
          <w:t>9.1. ROTAZIONE DEL PERSONALE</w:t>
        </w:r>
        <w:r>
          <w:tab/>
          <w:t>15</w:t>
        </w:r>
      </w:hyperlink>
    </w:p>
    <w:p w14:paraId="23F8662D" w14:textId="77777777" w:rsidR="003A719B" w:rsidRDefault="00DF4CA4">
      <w:pPr>
        <w:pStyle w:val="Contents2"/>
        <w:tabs>
          <w:tab w:val="right" w:leader="dot" w:pos="10347"/>
        </w:tabs>
      </w:pPr>
      <w:hyperlink r:id="rId25" w:history="1">
        <w:r>
          <w:t>9.2 TRASPARENZA</w:t>
        </w:r>
        <w:r>
          <w:tab/>
          <w:t>1</w:t>
        </w:r>
      </w:hyperlink>
      <w:r>
        <w:t>5</w:t>
      </w:r>
    </w:p>
    <w:p w14:paraId="0B7486CC" w14:textId="77777777" w:rsidR="003A719B" w:rsidRDefault="00DF4CA4">
      <w:pPr>
        <w:pStyle w:val="Contents2"/>
        <w:tabs>
          <w:tab w:val="right" w:leader="dot" w:pos="10347"/>
        </w:tabs>
      </w:pPr>
      <w:hyperlink r:id="rId26" w:history="1">
        <w:r>
          <w:t>9.3. TUTELA DEL DIPENDENTE CHE SEGNALA ILLECITI (WHISTLEBLOWER)</w:t>
        </w:r>
        <w:r>
          <w:tab/>
          <w:t>16</w:t>
        </w:r>
      </w:hyperlink>
    </w:p>
    <w:p w14:paraId="1063E74D" w14:textId="77777777" w:rsidR="003A719B" w:rsidRDefault="00DF4CA4">
      <w:pPr>
        <w:pStyle w:val="Contents2"/>
        <w:tabs>
          <w:tab w:val="right" w:leader="dot" w:pos="10347"/>
        </w:tabs>
      </w:pPr>
      <w:hyperlink r:id="rId27" w:history="1">
        <w:r>
          <w:t>9.4 IL CODICE DI COMPORTAMENTO</w:t>
        </w:r>
        <w:r>
          <w:tab/>
          <w:t>1</w:t>
        </w:r>
      </w:hyperlink>
      <w:r>
        <w:t>6</w:t>
      </w:r>
    </w:p>
    <w:p w14:paraId="63AD285F" w14:textId="77777777" w:rsidR="003A719B" w:rsidRDefault="00DF4CA4">
      <w:pPr>
        <w:pStyle w:val="Contents2"/>
        <w:tabs>
          <w:tab w:val="right" w:leader="dot" w:pos="10347"/>
        </w:tabs>
      </w:pPr>
      <w:hyperlink r:id="rId28" w:history="1">
        <w:r>
          <w:t>9.5.</w:t>
        </w:r>
        <w:r>
          <w:t xml:space="preserve"> INCARICHI EXTRAISTITUZIONALI</w:t>
        </w:r>
        <w:r>
          <w:tab/>
          <w:t>17</w:t>
        </w:r>
      </w:hyperlink>
    </w:p>
    <w:p w14:paraId="04F2B595" w14:textId="77777777" w:rsidR="003A719B" w:rsidRDefault="00DF4CA4">
      <w:pPr>
        <w:pStyle w:val="Contents2"/>
        <w:tabs>
          <w:tab w:val="right" w:leader="dot" w:pos="10347"/>
        </w:tabs>
      </w:pPr>
      <w:hyperlink r:id="rId29" w:history="1">
        <w:r>
          <w:t xml:space="preserve">9.6 COINVOLGIMENTO DEGLI STAKEHOLDER: </w:t>
        </w:r>
      </w:hyperlink>
      <w:hyperlink r:id="rId30" w:history="1">
        <w:r>
          <w:t>ASCOLTO E DIALOGO CON IL TERRITORIO</w:t>
        </w:r>
      </w:hyperlink>
      <w:hyperlink r:id="rId31" w:history="1">
        <w:r>
          <w:tab/>
          <w:t>17</w:t>
        </w:r>
      </w:hyperlink>
    </w:p>
    <w:p w14:paraId="6E2CCC46" w14:textId="77777777" w:rsidR="003A719B" w:rsidRDefault="00DF4CA4">
      <w:pPr>
        <w:pStyle w:val="Contents2"/>
        <w:tabs>
          <w:tab w:val="right" w:leader="dot" w:pos="10347"/>
        </w:tabs>
      </w:pPr>
      <w:hyperlink r:id="rId32" w:history="1">
        <w:r>
          <w:t>9.7 RISPETTO DELLA NORMATIVA SULLA SCELTA DEL CONTRAENTE</w:t>
        </w:r>
        <w:r>
          <w:tab/>
          <w:t>1</w:t>
        </w:r>
      </w:hyperlink>
      <w:r>
        <w:t>7</w:t>
      </w:r>
    </w:p>
    <w:p w14:paraId="47A58DA5" w14:textId="77777777" w:rsidR="003A719B" w:rsidRDefault="00DF4CA4">
      <w:pPr>
        <w:pStyle w:val="Contents2"/>
        <w:tabs>
          <w:tab w:val="right" w:leader="dot" w:pos="10347"/>
        </w:tabs>
      </w:pPr>
      <w:hyperlink r:id="rId33" w:history="1">
        <w:r>
          <w:t>9.8 RISPETTO DELLA NORMATIVA SULLA PIANIFICAZIONE TERRITORIALE</w:t>
        </w:r>
        <w:r>
          <w:tab/>
          <w:t>1</w:t>
        </w:r>
      </w:hyperlink>
      <w:r>
        <w:t>7</w:t>
      </w:r>
    </w:p>
    <w:p w14:paraId="3537C24B" w14:textId="77777777" w:rsidR="003A719B" w:rsidRDefault="00DF4CA4">
      <w:pPr>
        <w:pStyle w:val="Contents2"/>
        <w:tabs>
          <w:tab w:val="right" w:leader="dot" w:pos="10347"/>
        </w:tabs>
      </w:pPr>
      <w:hyperlink r:id="rId34" w:history="1">
        <w:r>
          <w:t>9.9 OBBLIGO DI ASTENSIONE IN CASO DI CONFLITTI DI INTERESSI</w:t>
        </w:r>
        <w:r>
          <w:tab/>
          <w:t>18</w:t>
        </w:r>
      </w:hyperlink>
    </w:p>
    <w:p w14:paraId="3725786F" w14:textId="77777777" w:rsidR="003A719B" w:rsidRDefault="00DF4CA4">
      <w:pPr>
        <w:pStyle w:val="Contents2"/>
        <w:tabs>
          <w:tab w:val="right" w:leader="dot" w:pos="10347"/>
        </w:tabs>
      </w:pPr>
      <w:hyperlink r:id="rId35" w:history="1">
        <w:r>
          <w:t>9.10 INCONFERIBILITA’ ED INCOMPATIBILITA’</w:t>
        </w:r>
        <w:r>
          <w:tab/>
          <w:t>18</w:t>
        </w:r>
      </w:hyperlink>
    </w:p>
    <w:p w14:paraId="338A1537" w14:textId="77777777" w:rsidR="003A719B" w:rsidRDefault="00DF4CA4">
      <w:pPr>
        <w:pStyle w:val="Contents1"/>
        <w:tabs>
          <w:tab w:val="right" w:leader="dot" w:pos="9922"/>
        </w:tabs>
      </w:pPr>
      <w:hyperlink r:id="rId36" w:history="1">
        <w:r>
          <w:t>10. IL SISTEMA DEI CONTROLLI E DELLE AZIONI PREVENTIVE PREVISTE</w:t>
        </w:r>
        <w:r>
          <w:tab/>
          <w:t>1</w:t>
        </w:r>
      </w:hyperlink>
      <w:r>
        <w:t>8</w:t>
      </w:r>
    </w:p>
    <w:p w14:paraId="535C9F1E" w14:textId="77777777" w:rsidR="003A719B" w:rsidRDefault="00DF4CA4">
      <w:pPr>
        <w:pStyle w:val="Contents1"/>
        <w:tabs>
          <w:tab w:val="right" w:leader="dot" w:pos="9922"/>
        </w:tabs>
      </w:pPr>
      <w:hyperlink r:id="rId37" w:history="1">
        <w:r>
          <w:t>11. AGGIORNAMENTO DEL PIANO DI PREVENZIONE DELLA CORRUZIONE E DELLA TRASPARENZA</w:t>
        </w:r>
        <w:r>
          <w:tab/>
          <w:t>19</w:t>
        </w:r>
      </w:hyperlink>
    </w:p>
    <w:p w14:paraId="23512E52" w14:textId="77777777" w:rsidR="003A719B" w:rsidRDefault="00DF4CA4">
      <w:pPr>
        <w:pStyle w:val="Contents2"/>
        <w:tabs>
          <w:tab w:val="right" w:leader="dot" w:pos="10347"/>
        </w:tabs>
      </w:pPr>
      <w:hyperlink r:id="rId38" w:history="1">
        <w:r>
          <w:t>11.1 MODALITA’ DI AGGIORNAMENTO</w:t>
        </w:r>
        <w:r>
          <w:tab/>
          <w:t>19</w:t>
        </w:r>
      </w:hyperlink>
    </w:p>
    <w:p w14:paraId="7C6AD341" w14:textId="77777777" w:rsidR="003A719B" w:rsidRDefault="00DF4CA4">
      <w:pPr>
        <w:pStyle w:val="Contents2"/>
        <w:tabs>
          <w:tab w:val="right" w:leader="dot" w:pos="10347"/>
        </w:tabs>
      </w:pPr>
      <w:hyperlink r:id="rId39" w:history="1">
        <w:r>
          <w:t>11.2 CADENZA TEMPORALE DI AGGIORNAMENTO</w:t>
        </w:r>
        <w:r>
          <w:tab/>
          <w:t>19</w:t>
        </w:r>
      </w:hyperlink>
    </w:p>
    <w:p w14:paraId="29377228" w14:textId="77777777" w:rsidR="003A719B" w:rsidRDefault="00DF4CA4">
      <w:pPr>
        <w:pStyle w:val="Contents1"/>
        <w:tabs>
          <w:tab w:val="right" w:leader="dot" w:pos="9922"/>
        </w:tabs>
      </w:pPr>
      <w:hyperlink r:id="rId40" w:history="1">
        <w:r>
          <w:t xml:space="preserve">12. MAPPA/REGISTRO DEI RISCHI CON LE AZIONI PREVENTIVE E CORRETTIVE, TEMPI </w:t>
        </w:r>
        <w:r>
          <w:t>E RESPONSABILITÀ</w:t>
        </w:r>
        <w:r>
          <w:tab/>
          <w:t>19</w:t>
        </w:r>
      </w:hyperlink>
    </w:p>
    <w:p w14:paraId="4F2320A7" w14:textId="77777777" w:rsidR="003A719B" w:rsidRDefault="00DF4CA4">
      <w:pPr>
        <w:pStyle w:val="Contents1"/>
        <w:tabs>
          <w:tab w:val="right" w:leader="dot" w:pos="9922"/>
        </w:tabs>
      </w:pPr>
      <w:hyperlink r:id="rId41" w:history="1">
        <w:r>
          <w:t>APPENDICE NORMATIVA</w:t>
        </w:r>
        <w:r>
          <w:tab/>
          <w:t>20</w:t>
        </w:r>
      </w:hyperlink>
    </w:p>
    <w:p w14:paraId="11A88262" w14:textId="77777777" w:rsidR="003A719B" w:rsidRDefault="00DF4CA4">
      <w:pPr>
        <w:pStyle w:val="Standard"/>
        <w:spacing w:before="80" w:after="120"/>
      </w:pPr>
      <w:r>
        <w:rPr>
          <w:rFonts w:ascii="Arial" w:eastAsia="Arial" w:hAnsi="Arial" w:cs="Arial"/>
          <w:b/>
          <w:caps/>
        </w:rPr>
        <w:fldChar w:fldCharType="end"/>
      </w:r>
    </w:p>
    <w:p w14:paraId="089EA9AB" w14:textId="77777777" w:rsidR="003A719B" w:rsidRDefault="00DF4CA4">
      <w:pPr>
        <w:pStyle w:val="Contents2"/>
        <w:tabs>
          <w:tab w:val="left" w:pos="6740"/>
        </w:tabs>
        <w:spacing w:before="80" w:after="120"/>
        <w:ind w:left="567" w:right="0" w:hanging="283"/>
        <w:rPr>
          <w:b/>
          <w:sz w:val="21"/>
          <w:szCs w:val="21"/>
        </w:rPr>
      </w:pPr>
      <w:r>
        <w:rPr>
          <w:b/>
          <w:sz w:val="21"/>
          <w:szCs w:val="21"/>
        </w:rPr>
        <w:tab/>
      </w:r>
    </w:p>
    <w:p w14:paraId="49DFC436" w14:textId="77777777" w:rsidR="003A719B" w:rsidRDefault="00DF4CA4">
      <w:pPr>
        <w:pStyle w:val="Titolo1"/>
        <w:pageBreakBefore/>
      </w:pPr>
      <w:bookmarkStart w:id="0" w:name="__RefHeading___Toc1938_761212699"/>
      <w:r>
        <w:rPr>
          <w:sz w:val="24"/>
          <w:szCs w:val="24"/>
        </w:rPr>
        <w:lastRenderedPageBreak/>
        <w:t>PREMESSA</w:t>
      </w:r>
      <w:bookmarkEnd w:id="0"/>
    </w:p>
    <w:p w14:paraId="28772336"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 xml:space="preserve">Le norme anticorruzione nella Pubblica amministrazione (P.A.) prevedono misure di prevenzione che ricadono in modo notevole e incisivo </w:t>
      </w:r>
      <w:r>
        <w:rPr>
          <w:rFonts w:ascii="Arial" w:eastAsia="Calibri" w:hAnsi="Arial" w:cs="Arial"/>
          <w:sz w:val="21"/>
          <w:szCs w:val="21"/>
          <w:lang w:eastAsia="en-US"/>
        </w:rPr>
        <w:t>sull’organizzazione e sui rapporti di lavoro di tutte le amministrazioni pubbliche e degli enti territoriali.</w:t>
      </w:r>
    </w:p>
    <w:p w14:paraId="7D8E8F0D" w14:textId="77777777" w:rsidR="003A719B" w:rsidRDefault="00DF4CA4">
      <w:pPr>
        <w:pStyle w:val="Standard"/>
        <w:spacing w:before="100"/>
        <w:jc w:val="both"/>
      </w:pPr>
      <w:r>
        <w:rPr>
          <w:rFonts w:ascii="Arial" w:eastAsia="Calibri" w:hAnsi="Arial" w:cs="Arial"/>
          <w:sz w:val="21"/>
          <w:szCs w:val="21"/>
          <w:lang w:eastAsia="en-US"/>
        </w:rPr>
        <w:t xml:space="preserve">I temi </w:t>
      </w:r>
      <w:r>
        <w:rPr>
          <w:rFonts w:ascii="Arial" w:eastAsia="Calibri" w:hAnsi="Arial" w:cs="Arial"/>
          <w:bCs/>
          <w:sz w:val="21"/>
          <w:szCs w:val="21"/>
          <w:lang w:eastAsia="en-US"/>
        </w:rPr>
        <w:t>della</w:t>
      </w:r>
      <w:r>
        <w:rPr>
          <w:rFonts w:ascii="Arial" w:eastAsia="Calibri" w:hAnsi="Arial" w:cs="Arial"/>
          <w:b/>
          <w:bCs/>
          <w:sz w:val="21"/>
          <w:szCs w:val="21"/>
          <w:lang w:eastAsia="en-US"/>
        </w:rPr>
        <w:t xml:space="preserve"> trasparenza </w:t>
      </w:r>
      <w:r>
        <w:rPr>
          <w:rFonts w:ascii="Arial" w:eastAsia="Calibri" w:hAnsi="Arial" w:cs="Arial"/>
          <w:bCs/>
          <w:sz w:val="21"/>
          <w:szCs w:val="21"/>
          <w:lang w:eastAsia="en-US"/>
        </w:rPr>
        <w:t>e</w:t>
      </w:r>
      <w:r>
        <w:rPr>
          <w:rFonts w:ascii="Arial" w:eastAsia="Calibri" w:hAnsi="Arial" w:cs="Arial"/>
          <w:b/>
          <w:bCs/>
          <w:sz w:val="21"/>
          <w:szCs w:val="21"/>
          <w:lang w:eastAsia="en-US"/>
        </w:rPr>
        <w:t xml:space="preserve"> </w:t>
      </w:r>
      <w:r>
        <w:rPr>
          <w:rFonts w:ascii="Arial" w:eastAsia="Calibri" w:hAnsi="Arial" w:cs="Arial"/>
          <w:sz w:val="21"/>
          <w:szCs w:val="21"/>
          <w:lang w:eastAsia="en-US"/>
        </w:rPr>
        <w:t xml:space="preserve">della </w:t>
      </w:r>
      <w:r>
        <w:rPr>
          <w:rFonts w:ascii="Arial" w:eastAsia="Calibri" w:hAnsi="Arial" w:cs="Arial"/>
          <w:b/>
          <w:bCs/>
          <w:sz w:val="21"/>
          <w:szCs w:val="21"/>
          <w:lang w:eastAsia="en-US"/>
        </w:rPr>
        <w:t>integrità dei comportamenti</w:t>
      </w:r>
      <w:r>
        <w:rPr>
          <w:rFonts w:ascii="Arial" w:eastAsia="Calibri" w:hAnsi="Arial" w:cs="Arial"/>
          <w:sz w:val="21"/>
          <w:szCs w:val="21"/>
          <w:lang w:eastAsia="en-US"/>
        </w:rPr>
        <w:t xml:space="preserve"> nella P.A. paiono sempre più urgenti, anche in relazione alle richieste della comunit</w:t>
      </w:r>
      <w:r>
        <w:rPr>
          <w:rFonts w:ascii="Arial" w:eastAsia="Calibri" w:hAnsi="Arial" w:cs="Arial"/>
          <w:sz w:val="21"/>
          <w:szCs w:val="21"/>
          <w:lang w:eastAsia="en-US"/>
        </w:rPr>
        <w:t>à internazionale (OCSE, Consiglio d’Europa, ecc.).</w:t>
      </w:r>
    </w:p>
    <w:p w14:paraId="6112EE04" w14:textId="77777777" w:rsidR="003A719B" w:rsidRDefault="00DF4CA4">
      <w:pPr>
        <w:pStyle w:val="Standard"/>
        <w:spacing w:before="100"/>
        <w:jc w:val="both"/>
      </w:pPr>
      <w:r>
        <w:rPr>
          <w:rFonts w:ascii="Arial" w:eastAsia="Calibri" w:hAnsi="Arial" w:cs="Arial"/>
          <w:sz w:val="21"/>
          <w:szCs w:val="21"/>
          <w:lang w:eastAsia="en-US"/>
        </w:rPr>
        <w:t xml:space="preserve">Nel 2012 la L. n. </w:t>
      </w:r>
      <w:r>
        <w:rPr>
          <w:rFonts w:ascii="Arial" w:eastAsia="Calibri" w:hAnsi="Arial" w:cs="Arial"/>
          <w:b/>
          <w:sz w:val="21"/>
          <w:szCs w:val="21"/>
          <w:lang w:eastAsia="en-US"/>
        </w:rPr>
        <w:t>190</w:t>
      </w:r>
      <w:r>
        <w:rPr>
          <w:rFonts w:ascii="Arial" w:eastAsia="Calibri" w:hAnsi="Arial" w:cs="Arial"/>
          <w:sz w:val="21"/>
          <w:szCs w:val="21"/>
          <w:lang w:eastAsia="en-US"/>
        </w:rPr>
        <w:t xml:space="preserve"> </w:t>
      </w:r>
      <w:r>
        <w:rPr>
          <w:rFonts w:ascii="Arial" w:eastAsia="Calibri" w:hAnsi="Arial" w:cs="Arial"/>
          <w:i/>
          <w:sz w:val="21"/>
          <w:szCs w:val="21"/>
          <w:lang w:eastAsia="en-US"/>
        </w:rPr>
        <w:t>(Disposizioni per la prevenzione e la repressione della corruzione e dell'illegalità nella Pubblica Amministrazione)</w:t>
      </w:r>
      <w:r>
        <w:rPr>
          <w:rFonts w:ascii="Arial" w:eastAsia="Calibri" w:hAnsi="Arial" w:cs="Arial"/>
          <w:b/>
          <w:bCs/>
          <w:sz w:val="21"/>
          <w:szCs w:val="21"/>
          <w:lang w:eastAsia="en-US"/>
        </w:rPr>
        <w:t xml:space="preserve"> </w:t>
      </w:r>
      <w:r>
        <w:rPr>
          <w:rFonts w:ascii="Arial" w:eastAsia="Calibri" w:hAnsi="Arial" w:cs="Arial"/>
          <w:sz w:val="21"/>
          <w:szCs w:val="21"/>
          <w:lang w:eastAsia="en-US"/>
        </w:rPr>
        <w:t xml:space="preserve">ha imposto che anche i Comuni si dotino di </w:t>
      </w:r>
      <w:r>
        <w:rPr>
          <w:rFonts w:ascii="Arial" w:eastAsia="Calibri" w:hAnsi="Arial" w:cs="Arial"/>
          <w:b/>
          <w:sz w:val="21"/>
          <w:szCs w:val="21"/>
          <w:lang w:eastAsia="en-US"/>
        </w:rPr>
        <w:t>Piani di prevenzione de</w:t>
      </w:r>
      <w:r>
        <w:rPr>
          <w:rFonts w:ascii="Arial" w:eastAsia="Calibri" w:hAnsi="Arial" w:cs="Arial"/>
          <w:b/>
          <w:sz w:val="21"/>
          <w:szCs w:val="21"/>
          <w:lang w:eastAsia="en-US"/>
        </w:rPr>
        <w:t>lla corruzione</w:t>
      </w:r>
      <w:r>
        <w:rPr>
          <w:rFonts w:ascii="Arial" w:eastAsia="Calibri" w:hAnsi="Arial" w:cs="Arial"/>
          <w:sz w:val="21"/>
          <w:szCs w:val="21"/>
          <w:lang w:eastAsia="en-US"/>
        </w:rPr>
        <w:t xml:space="preserve">, strumenti atti a dimostrare come l’ente si sia organizzato per prevenire eventuali comportamenti non corretti da parte dei dipendenti.  </w:t>
      </w:r>
    </w:p>
    <w:p w14:paraId="2E41F8E1"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 xml:space="preserve">Tale intervento legislativo mette a frutto il lavoro di analisi della Commissione di Studio su </w:t>
      </w:r>
      <w:r>
        <w:rPr>
          <w:rFonts w:ascii="Arial" w:eastAsia="Calibri" w:hAnsi="Arial" w:cs="Arial"/>
          <w:sz w:val="21"/>
          <w:szCs w:val="21"/>
          <w:lang w:eastAsia="en-US"/>
        </w:rPr>
        <w:t>trasparenza e corruzione istituita dal Ministro per la Pubblica Amministrazione e la Semplificazione, e costituisce segnale forte di attenzione del Legislatore ai temi dell’integrità e della trasparenza dell’azione amministrativa a tutti i livelli, come pr</w:t>
      </w:r>
      <w:r>
        <w:rPr>
          <w:rFonts w:ascii="Arial" w:eastAsia="Calibri" w:hAnsi="Arial" w:cs="Arial"/>
          <w:sz w:val="21"/>
          <w:szCs w:val="21"/>
          <w:lang w:eastAsia="en-US"/>
        </w:rPr>
        <w:t>esupposto per un corretto utilizzo delle pubbliche risorse.</w:t>
      </w:r>
    </w:p>
    <w:p w14:paraId="33F59905"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Con riferimento alla specificità dell’Ordinamento dei comuni nella Regione Autonoma Trentino Alto Adige, la Legge n.190/2012 prevede, all’art. 1 comma 60, che entro centoventi giorni dalla data di</w:t>
      </w:r>
      <w:r>
        <w:rPr>
          <w:rFonts w:ascii="Arial" w:eastAsia="Calibri" w:hAnsi="Arial" w:cs="Arial"/>
          <w:sz w:val="21"/>
          <w:szCs w:val="21"/>
          <w:lang w:eastAsia="en-US"/>
        </w:rPr>
        <w:t xml:space="preserve"> entrata in vigore della stessa, siano raggiunte intese in sede di Conferenza unificata in merito agli specifici adempimenti degli enti locali, con l'indicazione dei relativi termini, nonché degli enti pubblici e dei soggetti di diritto privato sottoposti </w:t>
      </w:r>
      <w:r>
        <w:rPr>
          <w:rFonts w:ascii="Arial" w:eastAsia="Calibri" w:hAnsi="Arial" w:cs="Arial"/>
          <w:sz w:val="21"/>
          <w:szCs w:val="21"/>
          <w:lang w:eastAsia="en-US"/>
        </w:rPr>
        <w:t>al loro controllo, volti alla piena e sollecita attuazione delle disposizioni dalla stessa legge previste</w:t>
      </w:r>
    </w:p>
    <w:p w14:paraId="6FFC2104"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In particolare con riguardo</w:t>
      </w:r>
    </w:p>
    <w:p w14:paraId="368B8C3E" w14:textId="77777777" w:rsidR="003A719B" w:rsidRDefault="00DF4CA4">
      <w:pPr>
        <w:pStyle w:val="Standard"/>
        <w:spacing w:before="100"/>
        <w:jc w:val="both"/>
      </w:pPr>
      <w:r>
        <w:rPr>
          <w:rFonts w:ascii="Arial" w:eastAsia="Calibri" w:hAnsi="Arial" w:cs="Arial"/>
          <w:sz w:val="21"/>
          <w:szCs w:val="21"/>
          <w:lang w:eastAsia="en-US"/>
        </w:rPr>
        <w:t xml:space="preserve">a) alla definizione, da parte di ciascuna amministrazione, del </w:t>
      </w:r>
      <w:r>
        <w:rPr>
          <w:rFonts w:ascii="Arial" w:eastAsia="Calibri" w:hAnsi="Arial" w:cs="Arial"/>
          <w:sz w:val="21"/>
          <w:szCs w:val="21"/>
          <w:u w:val="single"/>
          <w:lang w:eastAsia="en-US"/>
        </w:rPr>
        <w:t>piano triennale di prevenzione</w:t>
      </w:r>
      <w:r>
        <w:rPr>
          <w:rFonts w:ascii="Arial" w:eastAsia="Calibri" w:hAnsi="Arial" w:cs="Arial"/>
          <w:sz w:val="21"/>
          <w:szCs w:val="21"/>
          <w:lang w:eastAsia="en-US"/>
        </w:rPr>
        <w:t xml:space="preserve"> della corruzione, a partire </w:t>
      </w:r>
      <w:r>
        <w:rPr>
          <w:rFonts w:ascii="Arial" w:eastAsia="Calibri" w:hAnsi="Arial" w:cs="Arial"/>
          <w:sz w:val="21"/>
          <w:szCs w:val="21"/>
          <w:lang w:eastAsia="en-US"/>
        </w:rPr>
        <w:t>da quello relativo agli anni 2014-2016;</w:t>
      </w:r>
    </w:p>
    <w:p w14:paraId="228FEEAE" w14:textId="77777777" w:rsidR="003A719B" w:rsidRDefault="00DF4CA4">
      <w:pPr>
        <w:pStyle w:val="Standard"/>
        <w:spacing w:before="100"/>
        <w:jc w:val="both"/>
      </w:pPr>
      <w:r>
        <w:rPr>
          <w:rFonts w:ascii="Arial" w:eastAsia="Calibri" w:hAnsi="Arial" w:cs="Arial"/>
          <w:sz w:val="21"/>
          <w:szCs w:val="21"/>
          <w:lang w:eastAsia="en-US"/>
        </w:rPr>
        <w:t xml:space="preserve">b) all'adozione, da parte di ciascuna amministrazione, di </w:t>
      </w:r>
      <w:r>
        <w:rPr>
          <w:rFonts w:ascii="Arial" w:eastAsia="Calibri" w:hAnsi="Arial" w:cs="Arial"/>
          <w:sz w:val="21"/>
          <w:szCs w:val="21"/>
          <w:u w:val="single"/>
          <w:lang w:eastAsia="en-US"/>
        </w:rPr>
        <w:t>norme regolamentari</w:t>
      </w:r>
      <w:r>
        <w:rPr>
          <w:rFonts w:ascii="Arial" w:eastAsia="Calibri" w:hAnsi="Arial" w:cs="Arial"/>
          <w:sz w:val="21"/>
          <w:szCs w:val="21"/>
          <w:lang w:eastAsia="en-US"/>
        </w:rPr>
        <w:t xml:space="preserve"> relative all'individuazione degli incarichi vietati ai dipendenti pubblici;</w:t>
      </w:r>
    </w:p>
    <w:p w14:paraId="06C45FFB" w14:textId="77777777" w:rsidR="003A719B" w:rsidRDefault="00DF4CA4">
      <w:pPr>
        <w:pStyle w:val="Standard"/>
        <w:spacing w:before="100"/>
        <w:jc w:val="both"/>
      </w:pPr>
      <w:r>
        <w:rPr>
          <w:rFonts w:ascii="Arial" w:eastAsia="Calibri" w:hAnsi="Arial" w:cs="Arial"/>
          <w:sz w:val="21"/>
          <w:szCs w:val="21"/>
          <w:lang w:eastAsia="en-US"/>
        </w:rPr>
        <w:t xml:space="preserve">c) all'adozione, da parte di ciascuna amministrazione, del </w:t>
      </w:r>
      <w:r>
        <w:rPr>
          <w:rFonts w:ascii="Arial" w:eastAsia="Calibri" w:hAnsi="Arial" w:cs="Arial"/>
          <w:sz w:val="21"/>
          <w:szCs w:val="21"/>
          <w:u w:val="single"/>
          <w:lang w:eastAsia="en-US"/>
        </w:rPr>
        <w:t>cod</w:t>
      </w:r>
      <w:r>
        <w:rPr>
          <w:rFonts w:ascii="Arial" w:eastAsia="Calibri" w:hAnsi="Arial" w:cs="Arial"/>
          <w:sz w:val="21"/>
          <w:szCs w:val="21"/>
          <w:u w:val="single"/>
          <w:lang w:eastAsia="en-US"/>
        </w:rPr>
        <w:t>ice di comportamento</w:t>
      </w:r>
      <w:r>
        <w:rPr>
          <w:rFonts w:ascii="Arial" w:eastAsia="Calibri" w:hAnsi="Arial" w:cs="Arial"/>
          <w:sz w:val="21"/>
          <w:szCs w:val="21"/>
          <w:lang w:eastAsia="en-US"/>
        </w:rPr>
        <w:t xml:space="preserve"> in linea con i principi sanciti recentemente dal DPR 62/201</w:t>
      </w:r>
    </w:p>
    <w:p w14:paraId="36A2E0B3" w14:textId="77777777" w:rsidR="003A719B" w:rsidRDefault="00DF4CA4">
      <w:pPr>
        <w:pStyle w:val="Standard"/>
        <w:spacing w:before="100"/>
        <w:jc w:val="both"/>
      </w:pPr>
      <w:r>
        <w:rPr>
          <w:rFonts w:ascii="Arial" w:eastAsia="Calibri" w:hAnsi="Arial" w:cs="Arial"/>
          <w:sz w:val="21"/>
          <w:szCs w:val="21"/>
          <w:lang w:eastAsia="en-US"/>
        </w:rPr>
        <w:t xml:space="preserve">Al comma 61 dell’art. 1, la Legge 190/2012 prevede inoltre che, attraverso intese in sede di Conferenza unificata, siano </w:t>
      </w:r>
      <w:r>
        <w:rPr>
          <w:rFonts w:ascii="Arial" w:eastAsia="Calibri" w:hAnsi="Arial" w:cs="Arial"/>
          <w:sz w:val="21"/>
          <w:szCs w:val="21"/>
          <w:u w:val="single"/>
          <w:lang w:eastAsia="en-US"/>
        </w:rPr>
        <w:t>definiti gli adempimenti</w:t>
      </w:r>
      <w:r>
        <w:rPr>
          <w:rFonts w:ascii="Arial" w:eastAsia="Calibri" w:hAnsi="Arial" w:cs="Arial"/>
          <w:sz w:val="21"/>
          <w:szCs w:val="21"/>
          <w:lang w:eastAsia="en-US"/>
        </w:rPr>
        <w:t>, attuativi delle disposizioni</w:t>
      </w:r>
      <w:r>
        <w:rPr>
          <w:rFonts w:ascii="Arial" w:eastAsia="Calibri" w:hAnsi="Arial" w:cs="Arial"/>
          <w:sz w:val="21"/>
          <w:szCs w:val="21"/>
          <w:lang w:eastAsia="en-US"/>
        </w:rPr>
        <w:t xml:space="preserve"> dei successivi decreti emanati sulla base della stessa, da parte della Regione TAA e delle province autonome di Trento e di Bolzano e degli enti locali, nonché degli enti pubblici e dei soggetti di diritto privato sottoposti al loro controllo.</w:t>
      </w:r>
    </w:p>
    <w:p w14:paraId="2192F591"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L’intesa de</w:t>
      </w:r>
      <w:r>
        <w:rPr>
          <w:rFonts w:ascii="Arial" w:eastAsia="Calibri" w:hAnsi="Arial" w:cs="Arial"/>
          <w:sz w:val="21"/>
          <w:szCs w:val="21"/>
          <w:lang w:eastAsia="en-US"/>
        </w:rPr>
        <w:t>lla Conferenza Unificata Stato regioni del 24/07/2013 ha previsto al 31 gennaio 2014 il termine ultimo entro il quale le Amministrazioni avrebbero dovuto adottare il Piano Anticorruzione.</w:t>
      </w:r>
    </w:p>
    <w:p w14:paraId="1DE37A8B"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 xml:space="preserve">Con l’Intesa è stato costituito altresì un tavolo tecnico presso il </w:t>
      </w:r>
      <w:r>
        <w:rPr>
          <w:rFonts w:ascii="Arial" w:eastAsia="Calibri" w:hAnsi="Arial" w:cs="Arial"/>
          <w:sz w:val="21"/>
          <w:szCs w:val="21"/>
          <w:lang w:eastAsia="en-US"/>
        </w:rPr>
        <w:t>Dipartimento della funzione pubblica con i rappresentanti delle regioni e degli enti locali, per stabilire i criteri sulla base dei quali individuare gli incarichi vietati ai dipendenti delle amministrazioni pubbliche, quale punto di riferimento per le reg</w:t>
      </w:r>
      <w:r>
        <w:rPr>
          <w:rFonts w:ascii="Arial" w:eastAsia="Calibri" w:hAnsi="Arial" w:cs="Arial"/>
          <w:sz w:val="21"/>
          <w:szCs w:val="21"/>
          <w:lang w:eastAsia="en-US"/>
        </w:rPr>
        <w:t>ioni e gli enti locali.</w:t>
      </w:r>
    </w:p>
    <w:p w14:paraId="3AE0E92F" w14:textId="77777777" w:rsidR="003A719B" w:rsidRDefault="00DF4CA4">
      <w:pPr>
        <w:pStyle w:val="Standard"/>
        <w:spacing w:before="100"/>
        <w:jc w:val="both"/>
      </w:pPr>
      <w:r>
        <w:rPr>
          <w:rFonts w:ascii="Arial" w:eastAsia="Calibri" w:hAnsi="Arial" w:cs="Arial"/>
          <w:sz w:val="21"/>
          <w:szCs w:val="21"/>
          <w:lang w:eastAsia="en-US"/>
        </w:rPr>
        <w:t>A chiusura dei lavori del tavolo tecnico, avviato ad ottobre 2013, è stato formalmente approvato il documento contenente "</w:t>
      </w:r>
      <w:r>
        <w:rPr>
          <w:rFonts w:ascii="Arial" w:eastAsia="Calibri" w:hAnsi="Arial" w:cs="Arial"/>
          <w:i/>
          <w:sz w:val="21"/>
          <w:szCs w:val="21"/>
          <w:lang w:eastAsia="en-US"/>
        </w:rPr>
        <w:t>Criteri generali in materia di incarichi vietati ai pubblici dipendenti</w:t>
      </w:r>
      <w:r>
        <w:rPr>
          <w:rFonts w:ascii="Arial" w:eastAsia="Calibri" w:hAnsi="Arial" w:cs="Arial"/>
          <w:sz w:val="21"/>
          <w:szCs w:val="21"/>
          <w:lang w:eastAsia="en-US"/>
        </w:rPr>
        <w:t xml:space="preserve">". Obiettivo del documento è </w:t>
      </w:r>
      <w:r>
        <w:rPr>
          <w:rFonts w:ascii="Arial" w:eastAsia="Calibri" w:hAnsi="Arial" w:cs="Arial"/>
          <w:sz w:val="21"/>
          <w:szCs w:val="21"/>
          <w:lang w:eastAsia="en-US"/>
        </w:rPr>
        <w:t>quello di supportare le amministrazioni nell'applicazione della normativa in materia di svolgimento di incarichi da parte dei dipendenti e di orientare le scelte in sede di elaborazione dei regolamenti e degli atti di indirizzo.</w:t>
      </w:r>
    </w:p>
    <w:p w14:paraId="615E7CE0" w14:textId="77777777" w:rsidR="003A719B" w:rsidRDefault="00DF4CA4">
      <w:pPr>
        <w:pStyle w:val="Standard"/>
        <w:spacing w:before="100"/>
        <w:jc w:val="both"/>
      </w:pPr>
      <w:r>
        <w:rPr>
          <w:rFonts w:ascii="Arial" w:eastAsia="Calibri" w:hAnsi="Arial" w:cs="Arial"/>
          <w:sz w:val="21"/>
          <w:szCs w:val="21"/>
          <w:lang w:eastAsia="en-US"/>
        </w:rPr>
        <w:t>Sul punto si è specificamen</w:t>
      </w:r>
      <w:r>
        <w:rPr>
          <w:rFonts w:ascii="Arial" w:eastAsia="Calibri" w:hAnsi="Arial" w:cs="Arial"/>
          <w:sz w:val="21"/>
          <w:szCs w:val="21"/>
          <w:lang w:eastAsia="en-US"/>
        </w:rPr>
        <w:t>te espressa la Regione TAA con circolare n.3/EL del 14 agosto 2014, recante prescrizioni circa l’adeguamento del regolamento organico dei Comuni ai criteri generali in</w:t>
      </w:r>
      <w:r>
        <w:rPr>
          <w:rFonts w:ascii="Arial" w:hAnsi="Arial" w:cs="Arial"/>
          <w:sz w:val="21"/>
          <w:szCs w:val="21"/>
        </w:rPr>
        <w:t xml:space="preserve"> materia di incarichi vietati ai pubblici dipendenti, tenendo peraltro in debito conto qu</w:t>
      </w:r>
      <w:r>
        <w:rPr>
          <w:rFonts w:ascii="Arial" w:hAnsi="Arial" w:cs="Arial"/>
          <w:sz w:val="21"/>
          <w:szCs w:val="21"/>
        </w:rPr>
        <w:t>anto (già) stabilito dalle leggi regionali in materia (art. 108 del Codice degli enti locali per la Regione Autonoma Trentino-Alto Adige come approvato con Legge regionale n. 2 di data 3 maggio 2018) che detta i principi e criteri ai quali i regolamenti or</w:t>
      </w:r>
      <w:r>
        <w:rPr>
          <w:rFonts w:ascii="Arial" w:hAnsi="Arial" w:cs="Arial"/>
          <w:sz w:val="21"/>
          <w:szCs w:val="21"/>
        </w:rPr>
        <w:t>ganici dell’Ente devono attenersi.</w:t>
      </w:r>
    </w:p>
    <w:p w14:paraId="00E97E30" w14:textId="77777777" w:rsidR="003A719B" w:rsidRDefault="00DF4CA4">
      <w:pPr>
        <w:pStyle w:val="Standard"/>
        <w:spacing w:before="100"/>
        <w:jc w:val="both"/>
        <w:rPr>
          <w:rFonts w:ascii="Arial" w:hAnsi="Arial" w:cs="Arial"/>
          <w:sz w:val="21"/>
          <w:szCs w:val="21"/>
        </w:rPr>
      </w:pPr>
      <w:r>
        <w:rPr>
          <w:rFonts w:ascii="Arial" w:hAnsi="Arial" w:cs="Arial"/>
          <w:sz w:val="21"/>
          <w:szCs w:val="21"/>
        </w:rPr>
        <w:t>Nel 2013 è stato inoltre adottato il D.lgs. n. 33 con il quale si sono riordinati gli obblighi di pubblicità e trasparenza delle Pubbliche Amministrazioni, cui ha fatto seguito, sempre nel 2013, come costola della Legge A</w:t>
      </w:r>
      <w:r>
        <w:rPr>
          <w:rFonts w:ascii="Arial" w:hAnsi="Arial" w:cs="Arial"/>
          <w:sz w:val="21"/>
          <w:szCs w:val="21"/>
        </w:rPr>
        <w:t>nticorruzione, il D.lgs. n. 39, finalizzato all’introduzione di griglie di incompatibilità negli incarichi "apicali" sia nelle Amministrazioni dello Stato che in quelle locali (Regioni, Province e Comuni), ma anche negli Enti di diritto privato che sono co</w:t>
      </w:r>
      <w:r>
        <w:rPr>
          <w:rFonts w:ascii="Arial" w:hAnsi="Arial" w:cs="Arial"/>
          <w:sz w:val="21"/>
          <w:szCs w:val="21"/>
        </w:rPr>
        <w:t>ntrollati da una Pubblica Amministrazione.</w:t>
      </w:r>
    </w:p>
    <w:p w14:paraId="189A9EA1" w14:textId="77777777" w:rsidR="003A719B" w:rsidRDefault="00DF4CA4">
      <w:pPr>
        <w:pStyle w:val="Standard"/>
        <w:spacing w:before="100"/>
        <w:jc w:val="both"/>
      </w:pPr>
      <w:r>
        <w:rPr>
          <w:rFonts w:ascii="Arial" w:hAnsi="Arial" w:cs="Arial"/>
          <w:sz w:val="21"/>
          <w:szCs w:val="21"/>
        </w:rPr>
        <w:lastRenderedPageBreak/>
        <w:t>In merito alla tematica della Trasparenza si registra la L.R. n.10 del 29 ottobre 2014, recante: “</w:t>
      </w:r>
      <w:r>
        <w:rPr>
          <w:rFonts w:ascii="Arial" w:hAnsi="Arial" w:cs="Arial"/>
          <w:i/>
          <w:sz w:val="21"/>
          <w:szCs w:val="21"/>
        </w:rPr>
        <w:t>Disposizioni in materia di pubblicità, trasparenza e diffusione di informazioni da parte della Regione e degli enti</w:t>
      </w:r>
      <w:r>
        <w:rPr>
          <w:rFonts w:ascii="Arial" w:hAnsi="Arial" w:cs="Arial"/>
          <w:i/>
          <w:sz w:val="21"/>
          <w:szCs w:val="21"/>
        </w:rPr>
        <w:t xml:space="preserve"> a ordinamento regionale</w:t>
      </w:r>
      <w:r>
        <w:rPr>
          <w:rFonts w:ascii="Arial" w:hAnsi="Arial" w:cs="Arial"/>
          <w:sz w:val="21"/>
          <w:szCs w:val="21"/>
        </w:rPr>
        <w:t>”.</w:t>
      </w:r>
    </w:p>
    <w:p w14:paraId="7EC439E3" w14:textId="77777777" w:rsidR="003A719B" w:rsidRDefault="00DF4CA4">
      <w:pPr>
        <w:pStyle w:val="Standard"/>
        <w:spacing w:before="100"/>
        <w:jc w:val="both"/>
        <w:rPr>
          <w:rFonts w:ascii="Arial" w:hAnsi="Arial" w:cs="Arial"/>
          <w:sz w:val="21"/>
          <w:szCs w:val="21"/>
        </w:rPr>
      </w:pPr>
      <w:r>
        <w:rPr>
          <w:rFonts w:ascii="Arial" w:hAnsi="Arial" w:cs="Arial"/>
          <w:sz w:val="21"/>
          <w:szCs w:val="21"/>
        </w:rPr>
        <w:t>Sulla materia si è nuovamente cimentato il legislatore nazionale con l’adozione del D.Lgs. 97/2016, sulla base della delega espressa dalla Legge di riforma della pubblica amministrazione (cd. Legge Madia) n.124/2015.</w:t>
      </w:r>
    </w:p>
    <w:p w14:paraId="48EDB608" w14:textId="77777777" w:rsidR="003A719B" w:rsidRDefault="00DF4CA4">
      <w:pPr>
        <w:pStyle w:val="Standard"/>
        <w:spacing w:before="100"/>
        <w:jc w:val="both"/>
        <w:rPr>
          <w:rFonts w:ascii="Arial" w:hAnsi="Arial" w:cs="Arial"/>
          <w:sz w:val="21"/>
          <w:szCs w:val="21"/>
        </w:rPr>
      </w:pPr>
      <w:r>
        <w:rPr>
          <w:rFonts w:ascii="Arial" w:hAnsi="Arial" w:cs="Arial"/>
          <w:sz w:val="21"/>
          <w:szCs w:val="21"/>
        </w:rPr>
        <w:t>Il 16.12.201</w:t>
      </w:r>
      <w:r>
        <w:rPr>
          <w:rFonts w:ascii="Arial" w:hAnsi="Arial" w:cs="Arial"/>
          <w:sz w:val="21"/>
          <w:szCs w:val="21"/>
        </w:rPr>
        <w:t xml:space="preserve">6 è entrata in vigore la legge regionale n. 16 del 15.12.2016 ("Legge regionale collegata alla legge regionale di stabilità 2017"). Il Capo primo di tale legge riguarda le "Disposizioni di adeguamento alle norme in materia di trasparenza" e dispone alcune </w:t>
      </w:r>
      <w:r>
        <w:rPr>
          <w:rFonts w:ascii="Arial" w:hAnsi="Arial" w:cs="Arial"/>
          <w:sz w:val="21"/>
          <w:szCs w:val="21"/>
        </w:rPr>
        <w:t>modifiche alla legge regionale n. 10/2014 ("Disposizioni in materia di pubblicità, trasparenza e diffusione di informazioni da parte della Regione e degli enti a ordinamento regionale"). Sul punto si è in attesa dell’emissione di una circolare da parte del</w:t>
      </w:r>
      <w:r>
        <w:rPr>
          <w:rFonts w:ascii="Arial" w:hAnsi="Arial" w:cs="Arial"/>
          <w:sz w:val="21"/>
          <w:szCs w:val="21"/>
        </w:rPr>
        <w:t>la Regione TAA.</w:t>
      </w:r>
    </w:p>
    <w:p w14:paraId="626D3D2D" w14:textId="77777777" w:rsidR="003A719B" w:rsidRDefault="00DF4CA4">
      <w:pPr>
        <w:pStyle w:val="Standard"/>
        <w:spacing w:before="100"/>
        <w:jc w:val="both"/>
        <w:rPr>
          <w:rFonts w:ascii="Arial" w:hAnsi="Arial" w:cs="Arial"/>
          <w:sz w:val="21"/>
          <w:szCs w:val="21"/>
        </w:rPr>
      </w:pPr>
      <w:r>
        <w:rPr>
          <w:rFonts w:ascii="Arial" w:hAnsi="Arial" w:cs="Arial"/>
          <w:sz w:val="21"/>
          <w:szCs w:val="21"/>
        </w:rPr>
        <w:t xml:space="preserve">Il presente Piano triennale di prevenzione della corruzione 2022-2024 - preso atto del Piano Nazionale Anticorruzione 2013 e degli aggiornamenti intervenuti (determinazione n. 8/2015, deliberazione n. 831/2016 e deliberazione n. </w:t>
      </w:r>
      <w:r>
        <w:rPr>
          <w:rFonts w:ascii="Arial" w:hAnsi="Arial" w:cs="Arial"/>
          <w:sz w:val="21"/>
          <w:szCs w:val="21"/>
        </w:rPr>
        <w:t>1208/2017) - si muove in continuità rispetto ai precedenti Piani adottati dall’Amministrazione, e contiene:</w:t>
      </w:r>
    </w:p>
    <w:p w14:paraId="13D0D33F" w14:textId="77777777" w:rsidR="003A719B" w:rsidRDefault="00DF4CA4">
      <w:pPr>
        <w:pStyle w:val="Standard"/>
        <w:numPr>
          <w:ilvl w:val="0"/>
          <w:numId w:val="11"/>
        </w:numPr>
        <w:spacing w:before="100"/>
        <w:ind w:left="284" w:hanging="284"/>
        <w:jc w:val="both"/>
        <w:rPr>
          <w:rFonts w:ascii="Arial" w:hAnsi="Arial" w:cs="Arial"/>
          <w:sz w:val="21"/>
          <w:szCs w:val="21"/>
        </w:rPr>
      </w:pPr>
      <w:r>
        <w:rPr>
          <w:rFonts w:ascii="Arial" w:hAnsi="Arial" w:cs="Arial"/>
          <w:sz w:val="21"/>
          <w:szCs w:val="21"/>
        </w:rPr>
        <w:t>l’analisi del livello di rischio delle attività svolte,</w:t>
      </w:r>
    </w:p>
    <w:p w14:paraId="4D44E0F1" w14:textId="77777777" w:rsidR="003A719B" w:rsidRDefault="00DF4CA4">
      <w:pPr>
        <w:pStyle w:val="Standard"/>
        <w:numPr>
          <w:ilvl w:val="0"/>
          <w:numId w:val="2"/>
        </w:numPr>
        <w:spacing w:before="100"/>
        <w:ind w:left="284" w:hanging="284"/>
        <w:jc w:val="both"/>
        <w:rPr>
          <w:rFonts w:ascii="Arial" w:hAnsi="Arial" w:cs="Arial"/>
          <w:sz w:val="21"/>
          <w:szCs w:val="21"/>
        </w:rPr>
      </w:pPr>
      <w:r>
        <w:rPr>
          <w:rFonts w:ascii="Arial" w:hAnsi="Arial" w:cs="Arial"/>
          <w:sz w:val="21"/>
          <w:szCs w:val="21"/>
        </w:rPr>
        <w:t>un sistema di misure, procedure e controlli tesi a prevenire situazioni lesive per la traspa</w:t>
      </w:r>
      <w:r>
        <w:rPr>
          <w:rFonts w:ascii="Arial" w:hAnsi="Arial" w:cs="Arial"/>
          <w:sz w:val="21"/>
          <w:szCs w:val="21"/>
        </w:rPr>
        <w:t xml:space="preserve">renza e l’integrità delle azioni e dei comportamenti del personale.    </w:t>
      </w:r>
    </w:p>
    <w:p w14:paraId="66765B36" w14:textId="77777777" w:rsidR="003A719B" w:rsidRDefault="00DF4CA4">
      <w:pPr>
        <w:pStyle w:val="Standard"/>
        <w:spacing w:before="100"/>
        <w:jc w:val="both"/>
        <w:rPr>
          <w:rFonts w:ascii="Arial" w:hAnsi="Arial" w:cs="Arial"/>
          <w:sz w:val="21"/>
          <w:szCs w:val="21"/>
        </w:rPr>
      </w:pPr>
      <w:r>
        <w:rPr>
          <w:rFonts w:ascii="Arial" w:hAnsi="Arial" w:cs="Arial"/>
          <w:sz w:val="21"/>
          <w:szCs w:val="21"/>
        </w:rPr>
        <w:t>Il presente Piano si collega altresì con la programmazione strategica e operativa dell’amministrazione, tenuto conto dell’ultimo PEG 2021-2022-2023 deliberato dall’organo giuntale.</w:t>
      </w:r>
    </w:p>
    <w:p w14:paraId="65960267" w14:textId="77777777" w:rsidR="003A719B" w:rsidRDefault="003A719B">
      <w:pPr>
        <w:pStyle w:val="Standard"/>
        <w:spacing w:before="100"/>
        <w:jc w:val="both"/>
        <w:rPr>
          <w:rFonts w:ascii="Arial" w:hAnsi="Arial" w:cs="Arial"/>
          <w:spacing w:val="2"/>
          <w:sz w:val="21"/>
          <w:szCs w:val="21"/>
        </w:rPr>
      </w:pPr>
    </w:p>
    <w:p w14:paraId="46E716D0" w14:textId="77777777" w:rsidR="003A719B" w:rsidRDefault="00DF4CA4">
      <w:pPr>
        <w:pStyle w:val="Titolo1"/>
        <w:jc w:val="both"/>
        <w:rPr>
          <w:sz w:val="24"/>
          <w:szCs w:val="24"/>
        </w:rPr>
      </w:pPr>
      <w:bookmarkStart w:id="1" w:name="__RefHeading___Toc1940_761212699"/>
      <w:r>
        <w:rPr>
          <w:sz w:val="24"/>
          <w:szCs w:val="24"/>
        </w:rPr>
        <w:t>1.</w:t>
      </w:r>
      <w:r>
        <w:rPr>
          <w:sz w:val="24"/>
          <w:szCs w:val="24"/>
        </w:rPr>
        <w:t xml:space="preserve"> IL RESPONSABILE DELLA PREVENZIONE DELLA CORRUZIONE E DELLA TRASPARENZA (RPCT)</w:t>
      </w:r>
      <w:bookmarkEnd w:id="1"/>
    </w:p>
    <w:p w14:paraId="2A630AE5" w14:textId="77777777" w:rsidR="003A719B" w:rsidRDefault="00DF4CA4">
      <w:pPr>
        <w:pStyle w:val="Standard"/>
        <w:spacing w:before="100"/>
        <w:jc w:val="both"/>
        <w:rPr>
          <w:rFonts w:ascii="Arial" w:hAnsi="Arial" w:cs="Arial"/>
          <w:spacing w:val="2"/>
          <w:sz w:val="21"/>
          <w:szCs w:val="21"/>
        </w:rPr>
      </w:pPr>
      <w:r>
        <w:rPr>
          <w:rFonts w:ascii="Arial" w:hAnsi="Arial" w:cs="Arial"/>
          <w:spacing w:val="2"/>
          <w:sz w:val="21"/>
          <w:szCs w:val="21"/>
        </w:rPr>
        <w:t>Il Responsabile per la Prevenzione della Corruzione e della Trasparenza (RPCT), unisce a sé l’incarico di Responsabile della prevenzione della corruzione e della trasparenza: ad</w:t>
      </w:r>
      <w:r>
        <w:rPr>
          <w:rFonts w:ascii="Arial" w:hAnsi="Arial" w:cs="Arial"/>
          <w:spacing w:val="2"/>
          <w:sz w:val="21"/>
          <w:szCs w:val="21"/>
        </w:rPr>
        <w:t xml:space="preserve"> esso sono riconosciuti poteri e funzioni idonei a garantire lo svolgimento dell’incarico con autonomia ed effettività.</w:t>
      </w:r>
    </w:p>
    <w:p w14:paraId="34A5CB29" w14:textId="77777777" w:rsidR="003A719B" w:rsidRDefault="00DF4CA4">
      <w:pPr>
        <w:pStyle w:val="Standard"/>
        <w:spacing w:before="100"/>
        <w:jc w:val="both"/>
        <w:rPr>
          <w:rFonts w:ascii="Arial" w:hAnsi="Arial" w:cs="Arial"/>
          <w:spacing w:val="2"/>
          <w:sz w:val="21"/>
          <w:szCs w:val="21"/>
        </w:rPr>
      </w:pPr>
      <w:r>
        <w:rPr>
          <w:rFonts w:ascii="Arial" w:hAnsi="Arial" w:cs="Arial"/>
          <w:spacing w:val="2"/>
          <w:sz w:val="21"/>
          <w:szCs w:val="21"/>
        </w:rPr>
        <w:t>Il Responsabile di Prevenzione della Corruzione e della Trasparenza (RPCT) riveste un ruolo centrale nell'ambito della normativa e dell'</w:t>
      </w:r>
      <w:r>
        <w:rPr>
          <w:rFonts w:ascii="Arial" w:hAnsi="Arial" w:cs="Arial"/>
          <w:spacing w:val="2"/>
          <w:sz w:val="21"/>
          <w:szCs w:val="21"/>
        </w:rPr>
        <w:t>organizzazione amministrativa di prevenzione della corruzione e della promozione della trasparenza. La legge n. 190/2012 prevede che ogni amministrazione pubblica nomini un Responsabile di Prevenzione della Corruzione e della Trasparenza, in possesso di pa</w:t>
      </w:r>
      <w:r>
        <w:rPr>
          <w:rFonts w:ascii="Arial" w:hAnsi="Arial" w:cs="Arial"/>
          <w:spacing w:val="2"/>
          <w:sz w:val="21"/>
          <w:szCs w:val="21"/>
        </w:rPr>
        <w:t>rticolari requisiti. Nei Comuni il RPCT è individuato, di norma, nel Segretario Generale, salva diversa e motivata determinazione ed è nominato dal Sindaco quale organo di indirizzo politico amministrativo dell'ente.</w:t>
      </w:r>
    </w:p>
    <w:p w14:paraId="576FA0CF" w14:textId="77777777" w:rsidR="003A719B" w:rsidRDefault="00DF4CA4">
      <w:pPr>
        <w:pStyle w:val="Standard"/>
        <w:spacing w:before="100"/>
        <w:jc w:val="both"/>
        <w:rPr>
          <w:rFonts w:ascii="Arial" w:hAnsi="Arial" w:cs="Arial"/>
          <w:spacing w:val="2"/>
          <w:sz w:val="21"/>
          <w:szCs w:val="21"/>
        </w:rPr>
      </w:pPr>
      <w:r>
        <w:rPr>
          <w:rFonts w:ascii="Arial" w:hAnsi="Arial" w:cs="Arial"/>
          <w:spacing w:val="2"/>
          <w:sz w:val="21"/>
          <w:szCs w:val="21"/>
        </w:rPr>
        <w:t>Il RPCT, il cui ruolo e funzione deve e</w:t>
      </w:r>
      <w:r>
        <w:rPr>
          <w:rFonts w:ascii="Arial" w:hAnsi="Arial" w:cs="Arial"/>
          <w:spacing w:val="2"/>
          <w:sz w:val="21"/>
          <w:szCs w:val="21"/>
        </w:rPr>
        <w:t>ssere svolto in condizioni di garanzia e indipendenza, in particolare, provvede:</w:t>
      </w:r>
    </w:p>
    <w:p w14:paraId="707918E3" w14:textId="77777777" w:rsidR="003A719B" w:rsidRDefault="00DF4CA4">
      <w:pPr>
        <w:pStyle w:val="Standard"/>
        <w:numPr>
          <w:ilvl w:val="0"/>
          <w:numId w:val="12"/>
        </w:numPr>
        <w:spacing w:before="100"/>
        <w:jc w:val="both"/>
        <w:rPr>
          <w:rFonts w:ascii="Arial" w:hAnsi="Arial" w:cs="Arial"/>
          <w:spacing w:val="2"/>
          <w:sz w:val="21"/>
          <w:szCs w:val="21"/>
        </w:rPr>
      </w:pPr>
      <w:r>
        <w:rPr>
          <w:rFonts w:ascii="Arial" w:hAnsi="Arial" w:cs="Arial"/>
          <w:spacing w:val="2"/>
          <w:sz w:val="21"/>
          <w:szCs w:val="21"/>
        </w:rPr>
        <w:t>alla predisposizione del PTPCT entro i termini stabiliti;</w:t>
      </w:r>
    </w:p>
    <w:p w14:paraId="70BCA7AF" w14:textId="77777777" w:rsidR="003A719B" w:rsidRDefault="00DF4CA4">
      <w:pPr>
        <w:pStyle w:val="Standard"/>
        <w:numPr>
          <w:ilvl w:val="0"/>
          <w:numId w:val="12"/>
        </w:numPr>
        <w:spacing w:before="100"/>
        <w:jc w:val="both"/>
        <w:rPr>
          <w:rFonts w:ascii="Arial" w:hAnsi="Arial" w:cs="Arial"/>
          <w:spacing w:val="2"/>
          <w:sz w:val="21"/>
          <w:szCs w:val="21"/>
        </w:rPr>
      </w:pPr>
      <w:r>
        <w:rPr>
          <w:rFonts w:ascii="Arial" w:hAnsi="Arial" w:cs="Arial"/>
          <w:spacing w:val="2"/>
          <w:sz w:val="21"/>
          <w:szCs w:val="21"/>
        </w:rPr>
        <w:t>a proporre la modifica del Piano quando sono accertate significative violazioni delle prescrizioni ovvero quando inte</w:t>
      </w:r>
      <w:r>
        <w:rPr>
          <w:rFonts w:ascii="Arial" w:hAnsi="Arial" w:cs="Arial"/>
          <w:spacing w:val="2"/>
          <w:sz w:val="21"/>
          <w:szCs w:val="21"/>
        </w:rPr>
        <w:t>rvengono mutamenti nell’organizzazione o nell’attività dell’amministrazione;</w:t>
      </w:r>
    </w:p>
    <w:p w14:paraId="1079E215" w14:textId="77777777" w:rsidR="003A719B" w:rsidRDefault="00DF4CA4">
      <w:pPr>
        <w:pStyle w:val="Standard"/>
        <w:numPr>
          <w:ilvl w:val="0"/>
          <w:numId w:val="12"/>
        </w:numPr>
        <w:spacing w:before="100"/>
        <w:jc w:val="both"/>
        <w:rPr>
          <w:rFonts w:ascii="Arial" w:hAnsi="Arial" w:cs="Arial"/>
          <w:spacing w:val="2"/>
          <w:sz w:val="21"/>
          <w:szCs w:val="21"/>
        </w:rPr>
      </w:pPr>
      <w:r>
        <w:rPr>
          <w:rFonts w:ascii="Arial" w:hAnsi="Arial" w:cs="Arial"/>
          <w:spacing w:val="2"/>
          <w:sz w:val="21"/>
          <w:szCs w:val="21"/>
        </w:rPr>
        <w:t>alla verifica, in collaborazione con la giunta comunale dell’effettiva rotazione degli incarichi negli uffici preposti allo svolgimento delle attività a rischio corruzione, nei li</w:t>
      </w:r>
      <w:r>
        <w:rPr>
          <w:rFonts w:ascii="Arial" w:hAnsi="Arial" w:cs="Arial"/>
          <w:spacing w:val="2"/>
          <w:sz w:val="21"/>
          <w:szCs w:val="21"/>
        </w:rPr>
        <w:t>miti dell’attuazione del principio della rotazione stante le dimensioni dell’ente e di fatto l’impossibilità di dare attuazione alla rotazione medesima;</w:t>
      </w:r>
    </w:p>
    <w:p w14:paraId="2EE2FCB2" w14:textId="77777777" w:rsidR="003A719B" w:rsidRDefault="00DF4CA4">
      <w:pPr>
        <w:pStyle w:val="Standard"/>
        <w:numPr>
          <w:ilvl w:val="0"/>
          <w:numId w:val="12"/>
        </w:numPr>
        <w:spacing w:before="100"/>
        <w:jc w:val="both"/>
        <w:rPr>
          <w:rFonts w:ascii="Arial" w:hAnsi="Arial" w:cs="Arial"/>
          <w:spacing w:val="2"/>
          <w:sz w:val="21"/>
          <w:szCs w:val="21"/>
        </w:rPr>
      </w:pPr>
      <w:r>
        <w:rPr>
          <w:rFonts w:ascii="Arial" w:hAnsi="Arial" w:cs="Arial"/>
          <w:spacing w:val="2"/>
          <w:sz w:val="21"/>
          <w:szCs w:val="21"/>
        </w:rPr>
        <w:t>ad individuare il personale da inserire nei programmi di formazione e definire le procedure appropriate</w:t>
      </w:r>
      <w:r>
        <w:rPr>
          <w:rFonts w:ascii="Arial" w:hAnsi="Arial" w:cs="Arial"/>
          <w:spacing w:val="2"/>
          <w:sz w:val="21"/>
          <w:szCs w:val="21"/>
        </w:rPr>
        <w:t xml:space="preserve"> per selezionare e formare i dipendenti dell’ente che operano nei settori più a rischio;</w:t>
      </w:r>
    </w:p>
    <w:p w14:paraId="550513ED" w14:textId="77777777" w:rsidR="003A719B" w:rsidRDefault="00DF4CA4">
      <w:pPr>
        <w:pStyle w:val="Standard"/>
        <w:numPr>
          <w:ilvl w:val="0"/>
          <w:numId w:val="12"/>
        </w:numPr>
        <w:spacing w:before="100"/>
        <w:jc w:val="both"/>
        <w:rPr>
          <w:rFonts w:ascii="Arial" w:hAnsi="Arial" w:cs="Arial"/>
          <w:spacing w:val="2"/>
          <w:sz w:val="21"/>
          <w:szCs w:val="21"/>
        </w:rPr>
      </w:pPr>
      <w:r>
        <w:rPr>
          <w:rFonts w:ascii="Arial" w:hAnsi="Arial" w:cs="Arial"/>
          <w:spacing w:val="2"/>
          <w:sz w:val="21"/>
          <w:szCs w:val="21"/>
        </w:rPr>
        <w:t>a redigere una relazione sui risultati della propria attività e trasmetterla entro il 15 dicembre di ogni anno all’organo di indirizzo politico dell’ente e all'ANAC, p</w:t>
      </w:r>
      <w:r>
        <w:rPr>
          <w:rFonts w:ascii="Arial" w:hAnsi="Arial" w:cs="Arial"/>
          <w:spacing w:val="2"/>
          <w:sz w:val="21"/>
          <w:szCs w:val="21"/>
        </w:rPr>
        <w:t>ubblicandola sul sito istituzionale;</w:t>
      </w:r>
    </w:p>
    <w:p w14:paraId="3EDA4E14" w14:textId="77777777" w:rsidR="003A719B" w:rsidRDefault="00DF4CA4">
      <w:pPr>
        <w:pStyle w:val="Standard"/>
        <w:numPr>
          <w:ilvl w:val="0"/>
          <w:numId w:val="12"/>
        </w:numPr>
        <w:spacing w:before="100"/>
        <w:jc w:val="both"/>
        <w:rPr>
          <w:rFonts w:ascii="Arial" w:hAnsi="Arial" w:cs="Arial"/>
          <w:spacing w:val="2"/>
          <w:sz w:val="21"/>
          <w:szCs w:val="21"/>
        </w:rPr>
      </w:pPr>
      <w:r>
        <w:rPr>
          <w:rFonts w:ascii="Arial" w:hAnsi="Arial" w:cs="Arial"/>
          <w:spacing w:val="2"/>
          <w:sz w:val="21"/>
          <w:szCs w:val="21"/>
        </w:rPr>
        <w:t>alla verifica dell’efficace attuazione del Piano e della sua idoneità.</w:t>
      </w:r>
    </w:p>
    <w:p w14:paraId="57F22D15" w14:textId="77777777" w:rsidR="003A719B" w:rsidRDefault="003A719B">
      <w:pPr>
        <w:pStyle w:val="Standard"/>
        <w:spacing w:before="100"/>
        <w:jc w:val="both"/>
        <w:rPr>
          <w:rFonts w:ascii="Arial" w:hAnsi="Arial" w:cs="Arial"/>
          <w:color w:val="0000CC"/>
          <w:spacing w:val="2"/>
          <w:sz w:val="21"/>
          <w:szCs w:val="21"/>
        </w:rPr>
      </w:pPr>
    </w:p>
    <w:p w14:paraId="00B853FA" w14:textId="77777777" w:rsidR="003A719B" w:rsidRDefault="00DF4CA4">
      <w:pPr>
        <w:pStyle w:val="Standard"/>
        <w:spacing w:before="100"/>
        <w:jc w:val="both"/>
        <w:rPr>
          <w:rFonts w:ascii="Arial" w:hAnsi="Arial" w:cs="Arial"/>
          <w:spacing w:val="2"/>
          <w:sz w:val="21"/>
          <w:szCs w:val="21"/>
        </w:rPr>
      </w:pPr>
      <w:r>
        <w:rPr>
          <w:rFonts w:ascii="Arial" w:hAnsi="Arial" w:cs="Arial"/>
          <w:spacing w:val="2"/>
          <w:sz w:val="21"/>
          <w:szCs w:val="21"/>
        </w:rPr>
        <w:t xml:space="preserve">Le misure di prevenzione della corruzione coinvolgono il contesto organizzativo, in quanto con esse vengono adottati interventi che </w:t>
      </w:r>
      <w:r>
        <w:rPr>
          <w:rFonts w:ascii="Arial" w:hAnsi="Arial" w:cs="Arial"/>
          <w:spacing w:val="2"/>
          <w:sz w:val="21"/>
          <w:szCs w:val="21"/>
        </w:rPr>
        <w:t xml:space="preserve">incidono sull'amministrazione nel suo complesso, ovvero singoli settori, </w:t>
      </w:r>
      <w:r>
        <w:rPr>
          <w:rFonts w:ascii="Arial" w:hAnsi="Arial" w:cs="Arial"/>
          <w:spacing w:val="2"/>
          <w:sz w:val="21"/>
          <w:szCs w:val="21"/>
        </w:rPr>
        <w:lastRenderedPageBreak/>
        <w:t>ovvero singoli processi/procedimenti tesi a ridurre le condizioni operative che favoriscono la corruzione. Per tali ragioni il RPCT deve assicurare il pieno coinvolgimento e la massim</w:t>
      </w:r>
      <w:r>
        <w:rPr>
          <w:rFonts w:ascii="Arial" w:hAnsi="Arial" w:cs="Arial"/>
          <w:spacing w:val="2"/>
          <w:sz w:val="21"/>
          <w:szCs w:val="21"/>
        </w:rPr>
        <w:t>a partecipazione attiva, in tutte le fasi di predisposizione ed attuazione delle misure di prevenzione, dell'intera struttura, favorendo la responsabilizzazione degli uffici, al fine di garantire una migliore qualità del PTPCT, evitando che le stesse misur</w:t>
      </w:r>
      <w:r>
        <w:rPr>
          <w:rFonts w:ascii="Arial" w:hAnsi="Arial" w:cs="Arial"/>
          <w:spacing w:val="2"/>
          <w:sz w:val="21"/>
          <w:szCs w:val="21"/>
        </w:rPr>
        <w:t>e si trasformino in un mero adempimento. A tal fine, una fondamentale azione da parte del RPCT, oltre al coinvolgimento attivo di tutta la struttura organizzativa, è l'investimento in attività di formazione in materia di anticorruzione, così come meglio sp</w:t>
      </w:r>
      <w:r>
        <w:rPr>
          <w:rFonts w:ascii="Arial" w:hAnsi="Arial" w:cs="Arial"/>
          <w:spacing w:val="2"/>
          <w:sz w:val="21"/>
          <w:szCs w:val="21"/>
        </w:rPr>
        <w:t>ecificato.</w:t>
      </w:r>
    </w:p>
    <w:p w14:paraId="3A7A4D07" w14:textId="77777777" w:rsidR="003A719B" w:rsidRDefault="00DF4CA4">
      <w:pPr>
        <w:jc w:val="both"/>
        <w:rPr>
          <w:rFonts w:ascii="Arial" w:hAnsi="Arial" w:cs="Arial"/>
          <w:sz w:val="21"/>
          <w:szCs w:val="21"/>
        </w:rPr>
      </w:pPr>
      <w:r>
        <w:rPr>
          <w:rFonts w:ascii="Arial" w:hAnsi="Arial" w:cs="Arial"/>
          <w:sz w:val="21"/>
          <w:szCs w:val="21"/>
        </w:rPr>
        <w:t>Il Segretario comunale, in assenza di precise motivazioni di ordine contrario, è il Responsabile anticorruzione dell’Ente, come evidenziato dall’art. 1 – comma 7 della Legge 190/2012.</w:t>
      </w:r>
    </w:p>
    <w:p w14:paraId="00E9C9A8" w14:textId="77777777" w:rsidR="003A719B" w:rsidRDefault="003A719B">
      <w:pPr>
        <w:pStyle w:val="Standard"/>
        <w:spacing w:before="100"/>
        <w:jc w:val="both"/>
        <w:rPr>
          <w:rFonts w:ascii="Arial" w:hAnsi="Arial" w:cs="Arial"/>
          <w:spacing w:val="2"/>
          <w:sz w:val="21"/>
          <w:szCs w:val="21"/>
        </w:rPr>
      </w:pPr>
    </w:p>
    <w:p w14:paraId="23E9F53E" w14:textId="77777777" w:rsidR="003A719B" w:rsidRDefault="00DF4CA4">
      <w:pPr>
        <w:pStyle w:val="Standard"/>
        <w:spacing w:before="100"/>
        <w:jc w:val="both"/>
        <w:rPr>
          <w:rFonts w:ascii="Arial" w:hAnsi="Arial" w:cs="Arial"/>
          <w:spacing w:val="2"/>
          <w:sz w:val="21"/>
          <w:szCs w:val="21"/>
        </w:rPr>
      </w:pPr>
      <w:r>
        <w:rPr>
          <w:rFonts w:ascii="Arial" w:hAnsi="Arial" w:cs="Arial"/>
          <w:spacing w:val="2"/>
          <w:sz w:val="21"/>
          <w:szCs w:val="21"/>
        </w:rPr>
        <w:t>Il Responsabile della Prevenzione della Corruzione e della T</w:t>
      </w:r>
      <w:r>
        <w:rPr>
          <w:rFonts w:ascii="Arial" w:hAnsi="Arial" w:cs="Arial"/>
          <w:spacing w:val="2"/>
          <w:sz w:val="21"/>
          <w:szCs w:val="21"/>
        </w:rPr>
        <w:t>rasparenza per l’esercizio delle proprie funzioni si avvale della collaborazione del personale dipendente preposto ai diversi uffici comunali</w:t>
      </w:r>
    </w:p>
    <w:p w14:paraId="617222BD" w14:textId="77777777" w:rsidR="003A719B" w:rsidRDefault="003A719B">
      <w:pPr>
        <w:pStyle w:val="Standard"/>
        <w:spacing w:before="100"/>
        <w:jc w:val="both"/>
        <w:rPr>
          <w:rFonts w:ascii="Arial" w:hAnsi="Arial" w:cs="Arial"/>
          <w:spacing w:val="2"/>
          <w:sz w:val="21"/>
          <w:szCs w:val="21"/>
        </w:rPr>
      </w:pPr>
    </w:p>
    <w:p w14:paraId="72ABA27B" w14:textId="77777777" w:rsidR="003A719B" w:rsidRDefault="00DF4CA4">
      <w:pPr>
        <w:pStyle w:val="Standard"/>
        <w:spacing w:before="100"/>
        <w:jc w:val="both"/>
      </w:pPr>
      <w:r>
        <w:rPr>
          <w:rFonts w:cs="Times New Roman"/>
          <w:b/>
          <w:bCs/>
          <w:spacing w:val="2"/>
        </w:rPr>
        <w:t>2. G</w:t>
      </w:r>
      <w:r>
        <w:rPr>
          <w:rFonts w:cs="Times New Roman"/>
          <w:b/>
          <w:bCs/>
        </w:rPr>
        <w:t xml:space="preserve">ESTORE DELLE SEGNALAZIONI DI OPERAZIONI SOSPETTE DI RICICLAGGIO E DI FINANZIAMENTO DEL TERRORISMO. </w:t>
      </w:r>
    </w:p>
    <w:p w14:paraId="3D854DE8" w14:textId="77777777" w:rsidR="003A719B" w:rsidRDefault="003A719B">
      <w:pPr>
        <w:pStyle w:val="Standard"/>
        <w:spacing w:before="100"/>
        <w:jc w:val="both"/>
        <w:rPr>
          <w:rFonts w:ascii="Arial" w:hAnsi="Arial" w:cs="Arial"/>
          <w:sz w:val="21"/>
          <w:szCs w:val="21"/>
        </w:rPr>
      </w:pPr>
    </w:p>
    <w:p w14:paraId="3E0A959F" w14:textId="77777777" w:rsidR="003A719B" w:rsidRDefault="00DF4CA4">
      <w:pPr>
        <w:pStyle w:val="Standard"/>
        <w:spacing w:before="100"/>
        <w:jc w:val="both"/>
        <w:rPr>
          <w:rFonts w:ascii="Arial" w:hAnsi="Arial" w:cs="Arial"/>
          <w:sz w:val="21"/>
          <w:szCs w:val="21"/>
        </w:rPr>
      </w:pPr>
      <w:bookmarkStart w:id="2" w:name="_Hlk92888222"/>
      <w:r>
        <w:rPr>
          <w:rFonts w:ascii="Arial" w:hAnsi="Arial" w:cs="Arial"/>
          <w:sz w:val="21"/>
          <w:szCs w:val="21"/>
        </w:rPr>
        <w:t>Con deli</w:t>
      </w:r>
      <w:r>
        <w:rPr>
          <w:rFonts w:ascii="Arial" w:hAnsi="Arial" w:cs="Arial"/>
          <w:sz w:val="21"/>
          <w:szCs w:val="21"/>
        </w:rPr>
        <w:t xml:space="preserve">berazione giuntale n.184 del 23.11.2021 si è provveduto alla nomina del Gestore delle segnalazioni di operazioni sospette di riciclaggio e di finanziamento del terrorismo </w:t>
      </w:r>
      <w:bookmarkEnd w:id="2"/>
      <w:r>
        <w:rPr>
          <w:rFonts w:ascii="Arial" w:hAnsi="Arial" w:cs="Arial"/>
          <w:sz w:val="21"/>
          <w:szCs w:val="21"/>
        </w:rPr>
        <w:t>nel rispetto di quanto disposto dalla seguente normativa:</w:t>
      </w:r>
    </w:p>
    <w:p w14:paraId="371AD485" w14:textId="77777777" w:rsidR="003A719B" w:rsidRDefault="003A719B">
      <w:pPr>
        <w:pStyle w:val="Standard"/>
        <w:spacing w:before="100"/>
        <w:jc w:val="both"/>
        <w:rPr>
          <w:rFonts w:ascii="Arial" w:hAnsi="Arial" w:cs="Arial"/>
          <w:sz w:val="21"/>
          <w:szCs w:val="21"/>
        </w:rPr>
      </w:pPr>
    </w:p>
    <w:p w14:paraId="1B57D167" w14:textId="77777777" w:rsidR="003A719B" w:rsidRDefault="00DF4CA4">
      <w:pPr>
        <w:widowControl/>
        <w:numPr>
          <w:ilvl w:val="0"/>
          <w:numId w:val="13"/>
        </w:numPr>
        <w:tabs>
          <w:tab w:val="left" w:pos="397"/>
        </w:tabs>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xml:space="preserve"> </w:t>
      </w:r>
      <w:bookmarkStart w:id="3" w:name="_Hlk92888396"/>
      <w:r>
        <w:rPr>
          <w:rFonts w:ascii="Arial" w:eastAsia="Courier New" w:hAnsi="Arial" w:cs="Arial"/>
          <w:sz w:val="21"/>
          <w:szCs w:val="21"/>
          <w:lang w:eastAsia="it-IT"/>
        </w:rPr>
        <w:t>Decreto Legislativo 22 gi</w:t>
      </w:r>
      <w:r>
        <w:rPr>
          <w:rFonts w:ascii="Arial" w:eastAsia="Courier New" w:hAnsi="Arial" w:cs="Arial"/>
          <w:sz w:val="21"/>
          <w:szCs w:val="21"/>
          <w:lang w:eastAsia="it-IT"/>
        </w:rPr>
        <w:t>ugno 2007, n. 109</w:t>
      </w:r>
      <w:bookmarkEnd w:id="3"/>
      <w:r>
        <w:rPr>
          <w:rFonts w:ascii="Arial" w:eastAsia="Courier New" w:hAnsi="Arial" w:cs="Arial"/>
          <w:sz w:val="21"/>
          <w:szCs w:val="21"/>
          <w:lang w:eastAsia="it-IT"/>
        </w:rPr>
        <w:t>, recante “Misure per prevenire, contrastare e reprimere il finanziamento del terrorismo internazionale e l’attività dei paesi che minacciano la pace e la sicurezza internazionale, in attuazione della direttiva 2005/60/CE”;</w:t>
      </w:r>
    </w:p>
    <w:p w14:paraId="13092327"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xml:space="preserve">-    </w:t>
      </w:r>
      <w:bookmarkStart w:id="4" w:name="_Hlk92888442"/>
      <w:r>
        <w:rPr>
          <w:rFonts w:ascii="Arial" w:eastAsia="Courier New" w:hAnsi="Arial" w:cs="Arial"/>
          <w:sz w:val="21"/>
          <w:szCs w:val="21"/>
          <w:lang w:eastAsia="it-IT"/>
        </w:rPr>
        <w:t>Decreto Legislativo 21 novembre 2007, n. 231</w:t>
      </w:r>
      <w:bookmarkEnd w:id="4"/>
      <w:r>
        <w:rPr>
          <w:rFonts w:ascii="Arial" w:eastAsia="Courier New" w:hAnsi="Arial" w:cs="Arial"/>
          <w:sz w:val="21"/>
          <w:szCs w:val="21"/>
          <w:lang w:eastAsia="it-IT"/>
        </w:rPr>
        <w:t>, in tema di “Attuazione della Direttiva 2005/60/CE concernente la prevenzione dell'utilizzo del sistema finanziario a scopo di riciclaggio dei proventi di attività criminose e di finanziamento del terrorismo, no</w:t>
      </w:r>
      <w:r>
        <w:rPr>
          <w:rFonts w:ascii="Arial" w:eastAsia="Courier New" w:hAnsi="Arial" w:cs="Arial"/>
          <w:sz w:val="21"/>
          <w:szCs w:val="21"/>
          <w:lang w:eastAsia="it-IT"/>
        </w:rPr>
        <w:t>nché della direttiva 2006/70/CE che ne reca misure di esecuzione” e successive modifiche e integrazione  che all’ art. 10, comma 2,  prevede fra i destinatari degli obblighi di segnalazione di operazioni sospette gli uffici della pubblica amministrazione;</w:t>
      </w:r>
    </w:p>
    <w:p w14:paraId="609654A0"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xml:space="preserve">   -  </w:t>
      </w:r>
      <w:bookmarkStart w:id="5" w:name="_Hlk92888477"/>
      <w:r>
        <w:rPr>
          <w:rFonts w:ascii="Arial" w:eastAsia="Courier New" w:hAnsi="Arial" w:cs="Arial"/>
          <w:sz w:val="21"/>
          <w:szCs w:val="21"/>
          <w:lang w:eastAsia="it-IT"/>
        </w:rPr>
        <w:t>Decreto del Ministero dell'Interno 25 settembre 2015</w:t>
      </w:r>
      <w:bookmarkEnd w:id="5"/>
      <w:r>
        <w:rPr>
          <w:rFonts w:ascii="Arial" w:eastAsia="Courier New" w:hAnsi="Arial" w:cs="Arial"/>
          <w:sz w:val="21"/>
          <w:szCs w:val="21"/>
          <w:lang w:eastAsia="it-IT"/>
        </w:rPr>
        <w:t xml:space="preserve">, concernente la “Determinazione degli indicatori di anomalia al fine di agevolare l'individuazione delle operazioni sospette antiriciclaggio e di finanziamento del terrorismo da parte degli uffici </w:t>
      </w:r>
      <w:r>
        <w:rPr>
          <w:rFonts w:ascii="Arial" w:eastAsia="Courier New" w:hAnsi="Arial" w:cs="Arial"/>
          <w:sz w:val="21"/>
          <w:szCs w:val="21"/>
          <w:lang w:eastAsia="it-IT"/>
        </w:rPr>
        <w:t>della Pubblica Amministrazione”;</w:t>
      </w:r>
    </w:p>
    <w:p w14:paraId="02396694" w14:textId="77777777" w:rsidR="003A719B" w:rsidRDefault="003A719B">
      <w:pPr>
        <w:widowControl/>
        <w:ind w:left="426" w:right="140" w:hanging="426"/>
        <w:jc w:val="both"/>
        <w:textAlignment w:val="auto"/>
        <w:rPr>
          <w:rFonts w:ascii="Arial" w:eastAsia="Courier New" w:hAnsi="Arial" w:cs="Arial"/>
          <w:sz w:val="21"/>
          <w:szCs w:val="21"/>
          <w:lang w:eastAsia="it-IT"/>
        </w:rPr>
      </w:pPr>
    </w:p>
    <w:p w14:paraId="6F20F72E"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In seguito alla normativa sopra riportata sono state fatte se seguenti considerazioni e valutazioni:</w:t>
      </w:r>
    </w:p>
    <w:p w14:paraId="5EB7A17D" w14:textId="77777777" w:rsidR="003A719B" w:rsidRDefault="003A719B">
      <w:pPr>
        <w:widowControl/>
        <w:ind w:left="426" w:right="140" w:hanging="426"/>
        <w:jc w:val="both"/>
        <w:textAlignment w:val="auto"/>
        <w:rPr>
          <w:rFonts w:ascii="Arial" w:eastAsia="Courier New" w:hAnsi="Arial" w:cs="Arial"/>
          <w:sz w:val="21"/>
          <w:szCs w:val="21"/>
          <w:lang w:eastAsia="it-IT"/>
        </w:rPr>
      </w:pPr>
    </w:p>
    <w:p w14:paraId="45BB1A0B"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xml:space="preserve"> CONSIDERATO che il suddetto decreto del Ministero dell’Interno, al fine di prevenire e contrastare l’utilizzo del siste</w:t>
      </w:r>
      <w:r>
        <w:rPr>
          <w:rFonts w:ascii="Arial" w:eastAsia="Courier New" w:hAnsi="Arial" w:cs="Arial"/>
          <w:sz w:val="21"/>
          <w:szCs w:val="21"/>
          <w:lang w:eastAsia="it-IT"/>
        </w:rPr>
        <w:t>ma finanziario a scopo di riciclaggio dei proventi di attività criminose e di finanziamento del terrorismo ed in attuazione della direttiva 2005/60/CE, ha disposto:</w:t>
      </w:r>
    </w:p>
    <w:p w14:paraId="35E2E579" w14:textId="77777777" w:rsidR="003A719B" w:rsidRDefault="00DF4CA4">
      <w:pPr>
        <w:widowControl/>
        <w:numPr>
          <w:ilvl w:val="0"/>
          <w:numId w:val="14"/>
        </w:numPr>
        <w:tabs>
          <w:tab w:val="left" w:pos="-3041"/>
        </w:tabs>
        <w:ind w:right="140"/>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la segnalazione, da parte delle Pubbliche Amministrazione, di attività sospette o ragionevo</w:t>
      </w:r>
      <w:r>
        <w:rPr>
          <w:rFonts w:ascii="Arial" w:eastAsia="Courier New" w:hAnsi="Arial" w:cs="Arial"/>
          <w:sz w:val="21"/>
          <w:szCs w:val="21"/>
          <w:lang w:eastAsia="it-IT"/>
        </w:rPr>
        <w:t>lmente sospette relativamente ad operazioni di riciclaggio o di finanziamento del terrorismo, mediante l’applicazione degli indicatori di anomalia, volti a ridurre i margini di incertezza connessi con valutazioni soggettive ed aventi lo scopo di contribuir</w:t>
      </w:r>
      <w:r>
        <w:rPr>
          <w:rFonts w:ascii="Arial" w:eastAsia="Courier New" w:hAnsi="Arial" w:cs="Arial"/>
          <w:sz w:val="21"/>
          <w:szCs w:val="21"/>
          <w:lang w:eastAsia="it-IT"/>
        </w:rPr>
        <w:t>e al contenimento degli oneri e al corretto e omogeneo adempimento degli obblighi di segnalazione di operazioni sospette;</w:t>
      </w:r>
    </w:p>
    <w:p w14:paraId="5C8A25C0" w14:textId="77777777" w:rsidR="003A719B" w:rsidRDefault="00DF4CA4">
      <w:pPr>
        <w:widowControl/>
        <w:numPr>
          <w:ilvl w:val="0"/>
          <w:numId w:val="14"/>
        </w:numPr>
        <w:tabs>
          <w:tab w:val="left" w:pos="-3041"/>
        </w:tabs>
        <w:ind w:right="140"/>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l’individuazione, ai sensi dell’articolo 6 del “Gestore”, quale soggetto delegato a valutare e trasmettere le segnalazioni all'Unità d</w:t>
      </w:r>
      <w:r>
        <w:rPr>
          <w:rFonts w:ascii="Arial" w:eastAsia="Courier New" w:hAnsi="Arial" w:cs="Arial"/>
          <w:sz w:val="21"/>
          <w:szCs w:val="21"/>
          <w:lang w:eastAsia="it-IT"/>
        </w:rPr>
        <w:t>i informazione finanziaria per l'Italia;</w:t>
      </w:r>
    </w:p>
    <w:p w14:paraId="3AD72BF0"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VISTO il documento adottato dalla Banca D’Italia – Ufficio di Informazione Finanziaria per l’Italia in data 23 aprile 2018 con il quale sono emanate “Istruzioni sulle comunicazioni di dati e informazioni concer</w:t>
      </w:r>
      <w:r>
        <w:rPr>
          <w:rFonts w:ascii="Arial" w:eastAsia="Courier New" w:hAnsi="Arial" w:cs="Arial"/>
          <w:sz w:val="21"/>
          <w:szCs w:val="21"/>
          <w:lang w:eastAsia="it-IT"/>
        </w:rPr>
        <w:t>nenti le operazioni sospette da parte degli uffici delle pubbliche amministrazioni”;</w:t>
      </w:r>
    </w:p>
    <w:p w14:paraId="6BBD7352"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xml:space="preserve">-   RITENUTO, pertanto, opportuno dare attuazione al sopra menzionato D.M. del 25 settembre 2015, individuando la figura del Gestore; </w:t>
      </w:r>
    </w:p>
    <w:p w14:paraId="5DFE0886"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t xml:space="preserve">-      RILEVATO che compete alla </w:t>
      </w:r>
      <w:r>
        <w:rPr>
          <w:rFonts w:ascii="Arial" w:eastAsia="Courier New" w:hAnsi="Arial" w:cs="Arial"/>
          <w:sz w:val="21"/>
          <w:szCs w:val="21"/>
          <w:lang w:eastAsia="it-IT"/>
        </w:rPr>
        <w:t>Giunta comunale, su proposta del Gestore, l’adozione di uno specifico atto organizzativo, nel quale definire le procedure interne di valutazione idonee a garantire l'efficacia della rilevazione di operazioni sospette, la tempestività della segnalazione all</w:t>
      </w:r>
      <w:r>
        <w:rPr>
          <w:rFonts w:ascii="Arial" w:eastAsia="Courier New" w:hAnsi="Arial" w:cs="Arial"/>
          <w:sz w:val="21"/>
          <w:szCs w:val="21"/>
          <w:lang w:eastAsia="it-IT"/>
        </w:rPr>
        <w:t>a UIF, la massima riservatezza dei soggetti coinvolti nell'effettuazione della segnalazione stessa e l'omogeneità dei comportamenti;</w:t>
      </w:r>
    </w:p>
    <w:p w14:paraId="7599E0B5" w14:textId="77777777" w:rsidR="003A719B" w:rsidRDefault="00DF4CA4">
      <w:pPr>
        <w:widowControl/>
        <w:ind w:left="426" w:right="140" w:hanging="426"/>
        <w:jc w:val="both"/>
        <w:textAlignment w:val="auto"/>
        <w:rPr>
          <w:rFonts w:ascii="Arial" w:eastAsia="Courier New" w:hAnsi="Arial" w:cs="Arial"/>
          <w:sz w:val="21"/>
          <w:szCs w:val="21"/>
          <w:lang w:eastAsia="it-IT"/>
        </w:rPr>
      </w:pPr>
      <w:r>
        <w:rPr>
          <w:rFonts w:ascii="Arial" w:eastAsia="Courier New" w:hAnsi="Arial" w:cs="Arial"/>
          <w:sz w:val="21"/>
          <w:szCs w:val="21"/>
          <w:lang w:eastAsia="it-IT"/>
        </w:rPr>
        <w:lastRenderedPageBreak/>
        <w:t xml:space="preserve">-  </w:t>
      </w:r>
      <w:r>
        <w:rPr>
          <w:rFonts w:ascii="Arial" w:eastAsia="Courier New" w:hAnsi="Arial" w:cs="Arial"/>
          <w:sz w:val="21"/>
          <w:szCs w:val="21"/>
          <w:lang w:eastAsia="it-IT"/>
        </w:rPr>
        <w:tab/>
        <w:t xml:space="preserve">RITENUTO, inoltre, opportuno in attesa della predisposizione e adozione del documento di cui sopra, di stabilire che i </w:t>
      </w:r>
      <w:r>
        <w:rPr>
          <w:rFonts w:ascii="Arial" w:eastAsia="Courier New" w:hAnsi="Arial" w:cs="Arial"/>
          <w:sz w:val="21"/>
          <w:szCs w:val="21"/>
          <w:lang w:eastAsia="it-IT"/>
        </w:rPr>
        <w:t>Responsabili degli Uffici/Servizi sono tenuti a segnalare al Gestore sopra individuato le operazioni sospette tenendo conto degli indicatori di anomalia di cui al predetto decreto ministeriale ed alle Istruzioni emanate dalla Banca D’Italia in data 23.4.20</w:t>
      </w:r>
      <w:r>
        <w:rPr>
          <w:rFonts w:ascii="Arial" w:eastAsia="Courier New" w:hAnsi="Arial" w:cs="Arial"/>
          <w:sz w:val="21"/>
          <w:szCs w:val="21"/>
          <w:lang w:eastAsia="it-IT"/>
        </w:rPr>
        <w:t>18 nei seguenti campi di attività:</w:t>
      </w:r>
    </w:p>
    <w:p w14:paraId="2B4E6C67" w14:textId="77777777" w:rsidR="003A719B" w:rsidRDefault="00DF4CA4">
      <w:pPr>
        <w:widowControl/>
        <w:numPr>
          <w:ilvl w:val="0"/>
          <w:numId w:val="15"/>
        </w:numPr>
        <w:tabs>
          <w:tab w:val="left" w:pos="-1763"/>
        </w:tabs>
        <w:spacing w:line="276" w:lineRule="auto"/>
        <w:ind w:right="140"/>
        <w:jc w:val="both"/>
        <w:textAlignment w:val="auto"/>
      </w:pPr>
      <w:r>
        <w:rPr>
          <w:rFonts w:ascii="Arial" w:eastAsia="Times New Roman" w:hAnsi="Arial" w:cs="Arial"/>
          <w:sz w:val="21"/>
          <w:szCs w:val="21"/>
          <w:lang w:eastAsia="it-IT"/>
        </w:rPr>
        <w:t>procedimenti finalizzati all'adozione di provvedimenti di autorizzazione o concessione;</w:t>
      </w:r>
    </w:p>
    <w:p w14:paraId="7AA16D94" w14:textId="77777777" w:rsidR="003A719B" w:rsidRDefault="00DF4CA4">
      <w:pPr>
        <w:widowControl/>
        <w:numPr>
          <w:ilvl w:val="0"/>
          <w:numId w:val="15"/>
        </w:numPr>
        <w:tabs>
          <w:tab w:val="left" w:pos="-1763"/>
        </w:tabs>
        <w:spacing w:line="276" w:lineRule="auto"/>
        <w:ind w:right="140"/>
        <w:jc w:val="both"/>
        <w:textAlignment w:val="auto"/>
        <w:rPr>
          <w:rFonts w:ascii="Arial" w:eastAsia="Times New Roman" w:hAnsi="Arial" w:cs="Arial"/>
          <w:sz w:val="21"/>
          <w:szCs w:val="21"/>
          <w:lang w:eastAsia="it-IT"/>
        </w:rPr>
      </w:pPr>
      <w:r>
        <w:rPr>
          <w:rFonts w:ascii="Arial" w:eastAsia="Times New Roman" w:hAnsi="Arial" w:cs="Arial"/>
          <w:sz w:val="21"/>
          <w:szCs w:val="21"/>
          <w:lang w:eastAsia="it-IT"/>
        </w:rPr>
        <w:t>procedure di scelta del contraente per l'affidamento di lavori, forniture e servizi secondo le disposizioni di cui al codice dei cont</w:t>
      </w:r>
      <w:r>
        <w:rPr>
          <w:rFonts w:ascii="Arial" w:eastAsia="Times New Roman" w:hAnsi="Arial" w:cs="Arial"/>
          <w:sz w:val="21"/>
          <w:szCs w:val="21"/>
          <w:lang w:eastAsia="it-IT"/>
        </w:rPr>
        <w:t>ratti pubblici;</w:t>
      </w:r>
    </w:p>
    <w:p w14:paraId="1DF5AF85" w14:textId="77777777" w:rsidR="003A719B" w:rsidRDefault="00DF4CA4">
      <w:pPr>
        <w:widowControl/>
        <w:numPr>
          <w:ilvl w:val="0"/>
          <w:numId w:val="15"/>
        </w:numPr>
        <w:tabs>
          <w:tab w:val="left" w:pos="-1763"/>
        </w:tabs>
        <w:spacing w:line="276" w:lineRule="auto"/>
        <w:ind w:right="140"/>
        <w:jc w:val="both"/>
        <w:textAlignment w:val="auto"/>
        <w:rPr>
          <w:rFonts w:ascii="Arial" w:eastAsia="Times New Roman" w:hAnsi="Arial" w:cs="Arial"/>
          <w:sz w:val="21"/>
          <w:szCs w:val="21"/>
          <w:lang w:eastAsia="it-IT"/>
        </w:rPr>
      </w:pPr>
      <w:r>
        <w:rPr>
          <w:rFonts w:ascii="Arial" w:eastAsia="Times New Roman" w:hAnsi="Arial" w:cs="Arial"/>
          <w:sz w:val="21"/>
          <w:szCs w:val="21"/>
          <w:lang w:eastAsia="it-IT"/>
        </w:rPr>
        <w:t>procedimenti di concessione ed erogazione di sovvenzioni, contributi, sussidi, ausili finanziari, nonché attribuzioni di vantaggi economici di qualunque genere a persone fisiche ed enti pubblici e privati.</w:t>
      </w:r>
    </w:p>
    <w:p w14:paraId="755B3264" w14:textId="77777777" w:rsidR="003A719B" w:rsidRDefault="00DF4CA4">
      <w:pPr>
        <w:pStyle w:val="Paragrafoelenco"/>
        <w:numPr>
          <w:ilvl w:val="0"/>
          <w:numId w:val="15"/>
        </w:numPr>
        <w:spacing w:line="276" w:lineRule="auto"/>
        <w:ind w:right="140"/>
        <w:jc w:val="both"/>
      </w:pPr>
      <w:r>
        <w:rPr>
          <w:rFonts w:ascii="Arial" w:eastAsia="Times New Roman" w:hAnsi="Arial" w:cs="Arial"/>
          <w:sz w:val="21"/>
          <w:szCs w:val="21"/>
          <w:lang w:eastAsia="it-IT"/>
        </w:rPr>
        <w:t>procedimenti di concessione ed ero</w:t>
      </w:r>
      <w:r>
        <w:rPr>
          <w:rFonts w:ascii="Arial" w:eastAsia="Times New Roman" w:hAnsi="Arial" w:cs="Arial"/>
          <w:sz w:val="21"/>
          <w:szCs w:val="21"/>
          <w:lang w:eastAsia="it-IT"/>
        </w:rPr>
        <w:t>gazione di sovvenzioni, contributi, sussidi, ausili finanziari, nonché attribuzioni di vantaggi economici di qualunque genere a persone fisiche ed enti pubblici e privati;</w:t>
      </w:r>
    </w:p>
    <w:p w14:paraId="46A9258E" w14:textId="77777777" w:rsidR="003A719B" w:rsidRDefault="003A719B">
      <w:pPr>
        <w:pStyle w:val="Paragrafoelenco"/>
        <w:spacing w:line="276" w:lineRule="auto"/>
        <w:ind w:right="140"/>
        <w:jc w:val="both"/>
        <w:rPr>
          <w:rFonts w:ascii="Arial" w:eastAsia="Calibri" w:hAnsi="Arial" w:cs="Arial"/>
          <w:sz w:val="21"/>
          <w:szCs w:val="21"/>
          <w:lang w:eastAsia="en-US"/>
        </w:rPr>
      </w:pPr>
    </w:p>
    <w:p w14:paraId="6212A2E8" w14:textId="77777777" w:rsidR="003A719B" w:rsidRDefault="00DF4CA4">
      <w:pPr>
        <w:pStyle w:val="Paragrafoelenco"/>
        <w:spacing w:line="276" w:lineRule="auto"/>
        <w:ind w:right="140"/>
        <w:jc w:val="both"/>
        <w:rPr>
          <w:rFonts w:ascii="Arial" w:eastAsia="Calibri" w:hAnsi="Arial" w:cs="Arial"/>
          <w:sz w:val="21"/>
          <w:szCs w:val="21"/>
          <w:lang w:eastAsia="en-US"/>
        </w:rPr>
      </w:pPr>
      <w:r>
        <w:rPr>
          <w:rFonts w:ascii="Arial" w:eastAsia="Calibri" w:hAnsi="Arial" w:cs="Arial"/>
          <w:sz w:val="21"/>
          <w:szCs w:val="21"/>
          <w:lang w:eastAsia="en-US"/>
        </w:rPr>
        <w:t>In seguito alle norme sopra indicate ed alle successive valutazioni la giunta comun</w:t>
      </w:r>
      <w:r>
        <w:rPr>
          <w:rFonts w:ascii="Arial" w:eastAsia="Calibri" w:hAnsi="Arial" w:cs="Arial"/>
          <w:sz w:val="21"/>
          <w:szCs w:val="21"/>
          <w:lang w:eastAsia="en-US"/>
        </w:rPr>
        <w:t>ale ha deliberato con atto d.d. 23.11.2021 n. 184 di nominare il Responsabile della prevenzione della Corruzione e della trasparenza anche gestore delle operazioni sospette di riciclaggio e finanziamento del terrorismo</w:t>
      </w:r>
    </w:p>
    <w:p w14:paraId="000094D2" w14:textId="77777777" w:rsidR="003A719B" w:rsidRDefault="003A719B">
      <w:pPr>
        <w:pStyle w:val="Standard"/>
        <w:spacing w:before="100"/>
        <w:jc w:val="both"/>
        <w:rPr>
          <w:rFonts w:ascii="Arial" w:hAnsi="Arial" w:cs="Arial"/>
          <w:spacing w:val="2"/>
          <w:sz w:val="21"/>
          <w:szCs w:val="21"/>
        </w:rPr>
      </w:pPr>
    </w:p>
    <w:p w14:paraId="3159FD67" w14:textId="77777777" w:rsidR="003A719B" w:rsidRDefault="00DF4CA4">
      <w:pPr>
        <w:pStyle w:val="Titolo1"/>
      </w:pPr>
      <w:bookmarkStart w:id="6" w:name="__RefHeading___Toc1942_761212699"/>
      <w:r>
        <w:rPr>
          <w:bCs/>
          <w:sz w:val="24"/>
          <w:szCs w:val="24"/>
        </w:rPr>
        <w:t>3. IL CONTESTO ESTERNO ED INTERNO</w:t>
      </w:r>
      <w:bookmarkEnd w:id="6"/>
    </w:p>
    <w:p w14:paraId="645B2C56" w14:textId="77777777" w:rsidR="003A719B" w:rsidRDefault="003A719B">
      <w:pPr>
        <w:pStyle w:val="Standard"/>
        <w:spacing w:before="40"/>
        <w:jc w:val="center"/>
        <w:textAlignment w:val="top"/>
        <w:rPr>
          <w:sz w:val="21"/>
          <w:szCs w:val="21"/>
        </w:rPr>
      </w:pPr>
    </w:p>
    <w:p w14:paraId="18C0D7A8" w14:textId="77777777" w:rsidR="003A719B" w:rsidRDefault="00DF4CA4">
      <w:pPr>
        <w:jc w:val="both"/>
        <w:rPr>
          <w:rFonts w:ascii="Roboto" w:hAnsi="Roboto" w:cs="Calibri"/>
          <w:b/>
          <w:bCs/>
          <w:sz w:val="20"/>
          <w:szCs w:val="20"/>
          <w:u w:val="single"/>
        </w:rPr>
      </w:pPr>
      <w:r>
        <w:rPr>
          <w:rFonts w:ascii="Roboto" w:hAnsi="Roboto" w:cs="Calibri"/>
          <w:b/>
          <w:bCs/>
          <w:sz w:val="20"/>
          <w:szCs w:val="20"/>
          <w:u w:val="single"/>
        </w:rPr>
        <w:t>3.1.IL CONTESTO ESTERNO</w:t>
      </w:r>
    </w:p>
    <w:p w14:paraId="391DF789" w14:textId="77777777" w:rsidR="003A719B" w:rsidRDefault="00DF4CA4">
      <w:pPr>
        <w:jc w:val="both"/>
        <w:rPr>
          <w:rFonts w:ascii="Roboto" w:hAnsi="Roboto" w:cs="Calibri"/>
          <w:sz w:val="20"/>
          <w:szCs w:val="20"/>
        </w:rPr>
      </w:pPr>
      <w:r>
        <w:rPr>
          <w:rFonts w:ascii="Roboto" w:hAnsi="Roboto" w:cs="Calibri"/>
          <w:sz w:val="20"/>
          <w:szCs w:val="20"/>
        </w:rPr>
        <w:t>L’analisi del contesto esterno ha come obiettivo quello di evidenziare come le caratteristiche dell’ambiente nel quale l’Amministrazione è chiamata a operare, con riferimento, ad esempio, a variabili culturali, criminologiche, socia</w:t>
      </w:r>
      <w:r>
        <w:rPr>
          <w:rFonts w:ascii="Roboto" w:hAnsi="Roboto" w:cs="Calibri"/>
          <w:sz w:val="20"/>
          <w:szCs w:val="20"/>
        </w:rPr>
        <w:t>li ed economiche del territorio possano favorire il verificarsi di fenomeni corruttivi al proprio interno. A tal fine, possono essere considerati sia i fattori legati al territorio della Provincia di Trento, sia le relazioni e le possibili influenze esiste</w:t>
      </w:r>
      <w:r>
        <w:rPr>
          <w:rFonts w:ascii="Roboto" w:hAnsi="Roboto" w:cs="Calibri"/>
          <w:sz w:val="20"/>
          <w:szCs w:val="20"/>
        </w:rPr>
        <w:t>nti con i portatori e i rappresentanti di interessi esterni. Comprendere le dinamiche territoriali di riferimento e le principali influenze e pressioni, a cui l’Amministrazione è sottoposta, consente infatti di indirizzare con maggiore efficacia e precisio</w:t>
      </w:r>
      <w:r>
        <w:rPr>
          <w:rFonts w:ascii="Roboto" w:hAnsi="Roboto" w:cs="Calibri"/>
          <w:sz w:val="20"/>
          <w:szCs w:val="20"/>
        </w:rPr>
        <w:t>ne la strategia di gestione del rischio.</w:t>
      </w:r>
    </w:p>
    <w:p w14:paraId="4DAE22C1" w14:textId="77777777" w:rsidR="003A719B" w:rsidRDefault="00DF4CA4">
      <w:pPr>
        <w:jc w:val="both"/>
        <w:rPr>
          <w:rFonts w:ascii="Roboto" w:hAnsi="Roboto" w:cs="Calibri"/>
          <w:sz w:val="20"/>
          <w:szCs w:val="20"/>
        </w:rPr>
      </w:pPr>
      <w:r>
        <w:rPr>
          <w:rFonts w:ascii="Roboto" w:hAnsi="Roboto" w:cs="Calibri"/>
          <w:sz w:val="20"/>
          <w:szCs w:val="20"/>
        </w:rPr>
        <w:t>Il contesto esterno può essere utile a individuare quali processi possono essere presi a riferimento per individuare i settori di intervento di maggior delicatezza (es. appalti, erogazione contributi..) prendendo ci</w:t>
      </w:r>
      <w:r>
        <w:rPr>
          <w:rFonts w:ascii="Roboto" w:hAnsi="Roboto" w:cs="Calibri"/>
          <w:sz w:val="20"/>
          <w:szCs w:val="20"/>
        </w:rPr>
        <w:t xml:space="preserve">oè spunto dai fenomeni corruttivi che si sono verificati con maggior frequenza nel bacino territoriale di riferimento, ad esempio nel contesto delle attività economiche maggiormente soggette a infiltrazione criminale negli anni immediatamente precedenti o </w:t>
      </w:r>
      <w:r>
        <w:rPr>
          <w:rFonts w:ascii="Roboto" w:hAnsi="Roboto" w:cs="Calibri"/>
          <w:sz w:val="20"/>
          <w:szCs w:val="20"/>
        </w:rPr>
        <w:t>a fenomeni che hanno dato luogo a episodi di cattiva amministrazione, censurati dalle Corti o dalla stampa, in cui concentrare l’attenzione e focalizzare le misure di prevenzione della corruzione.</w:t>
      </w:r>
    </w:p>
    <w:p w14:paraId="2C7813BE" w14:textId="77777777" w:rsidR="003A719B" w:rsidRDefault="00DF4CA4">
      <w:pPr>
        <w:ind w:firstLine="708"/>
        <w:jc w:val="center"/>
        <w:rPr>
          <w:rFonts w:ascii="Roboto" w:hAnsi="Roboto" w:cs="Calibri"/>
          <w:sz w:val="20"/>
          <w:szCs w:val="20"/>
        </w:rPr>
      </w:pPr>
      <w:r>
        <w:rPr>
          <w:rFonts w:ascii="Roboto" w:hAnsi="Roboto" w:cs="Calibri"/>
          <w:sz w:val="20"/>
          <w:szCs w:val="20"/>
        </w:rPr>
        <w:t>***</w:t>
      </w:r>
    </w:p>
    <w:p w14:paraId="159A1A65" w14:textId="77777777" w:rsidR="003A719B" w:rsidRDefault="00DF4CA4">
      <w:pPr>
        <w:jc w:val="both"/>
        <w:rPr>
          <w:rFonts w:ascii="Roboto" w:hAnsi="Roboto" w:cs="Calibri"/>
          <w:sz w:val="20"/>
          <w:szCs w:val="20"/>
        </w:rPr>
      </w:pPr>
      <w:r>
        <w:rPr>
          <w:rFonts w:ascii="Roboto" w:hAnsi="Roboto" w:cs="Calibri"/>
          <w:sz w:val="20"/>
          <w:szCs w:val="20"/>
        </w:rPr>
        <w:t>Si rendono, di seguito, alcuni spunti rispetto alla val</w:t>
      </w:r>
      <w:r>
        <w:rPr>
          <w:rFonts w:ascii="Roboto" w:hAnsi="Roboto" w:cs="Calibri"/>
          <w:sz w:val="20"/>
          <w:szCs w:val="20"/>
        </w:rPr>
        <w:t>utazione della situazione trentina, resa da fonti autorevoli:</w:t>
      </w:r>
    </w:p>
    <w:p w14:paraId="53F35B46" w14:textId="77777777" w:rsidR="003A719B" w:rsidRDefault="00DF4CA4">
      <w:pPr>
        <w:pStyle w:val="Paragrafoelenco"/>
        <w:widowControl/>
        <w:numPr>
          <w:ilvl w:val="0"/>
          <w:numId w:val="16"/>
        </w:numPr>
        <w:suppressAutoHyphens w:val="0"/>
        <w:jc w:val="both"/>
        <w:textAlignment w:val="auto"/>
        <w:rPr>
          <w:rFonts w:ascii="Roboto" w:hAnsi="Roboto" w:cs="Calibri"/>
          <w:sz w:val="20"/>
          <w:szCs w:val="20"/>
          <w:u w:val="single"/>
        </w:rPr>
      </w:pPr>
      <w:r>
        <w:rPr>
          <w:rFonts w:ascii="Roboto" w:hAnsi="Roboto" w:cs="Calibri"/>
          <w:sz w:val="20"/>
          <w:szCs w:val="20"/>
          <w:u w:val="single"/>
        </w:rPr>
        <w:t>Gruppo di lavoro in materia di sicurezza della Provincia autonoma di Trento</w:t>
      </w:r>
    </w:p>
    <w:p w14:paraId="3A016A51" w14:textId="77777777" w:rsidR="003A719B" w:rsidRDefault="00DF4CA4">
      <w:pPr>
        <w:jc w:val="both"/>
        <w:rPr>
          <w:rFonts w:ascii="Roboto" w:hAnsi="Roboto" w:cs="Calibri"/>
          <w:sz w:val="20"/>
          <w:szCs w:val="20"/>
        </w:rPr>
      </w:pPr>
      <w:r>
        <w:rPr>
          <w:rFonts w:ascii="Roboto" w:hAnsi="Roboto" w:cs="Calibri"/>
          <w:sz w:val="20"/>
          <w:szCs w:val="20"/>
        </w:rPr>
        <w:t xml:space="preserve">Con deliberazione della Giunta provinciale n. 1695 dell’8 agosto 2012 è stato istituito un gruppo di lavoro in </w:t>
      </w:r>
      <w:r>
        <w:rPr>
          <w:rFonts w:ascii="Roboto" w:hAnsi="Roboto" w:cs="Calibri"/>
          <w:sz w:val="20"/>
          <w:szCs w:val="20"/>
        </w:rPr>
        <w:t>materia di sicurezza, il quale è investito del compito di analizzare la vulnerabilità all’infiltrazione criminale del sistema economico trentino, al fine di sviluppare risposte preventive attraverso il monitoraggio dei segnali di allarme. Con deliberazione</w:t>
      </w:r>
      <w:r>
        <w:rPr>
          <w:rFonts w:ascii="Roboto" w:hAnsi="Roboto" w:cs="Calibri"/>
          <w:sz w:val="20"/>
          <w:szCs w:val="20"/>
        </w:rPr>
        <w:t xml:space="preserve"> del medesimo organo (d.d. 4 settembre 2014, n. 1492) è stato mantenuto detto gruppo di lavoro (confermato da ultimo con deliberazione della Giunta provinciale del 21 agosto 2020) e ne sono state implementate le funzioni con il compito di coordinare la rea</w:t>
      </w:r>
      <w:r>
        <w:rPr>
          <w:rFonts w:ascii="Roboto" w:hAnsi="Roboto" w:cs="Calibri"/>
          <w:sz w:val="20"/>
          <w:szCs w:val="20"/>
        </w:rPr>
        <w:t xml:space="preserve">lizzazione di indagini statistiche sull’infiltrazione criminale nel sistema economico trentino, nonché sulla percezione del fenomeno della corruzione da parte degli operatori economici presenti sul territorio provinciale. L’attività di indagine statistica </w:t>
      </w:r>
      <w:r>
        <w:rPr>
          <w:rFonts w:ascii="Roboto" w:hAnsi="Roboto" w:cs="Calibri"/>
          <w:sz w:val="20"/>
          <w:szCs w:val="20"/>
        </w:rPr>
        <w:t xml:space="preserve">si svolge annualmente, per settori economici, in modo da garantire l’adeguata rappresentazione delle problematiche suindicate. </w:t>
      </w:r>
    </w:p>
    <w:p w14:paraId="63586FC1" w14:textId="77777777" w:rsidR="003A719B" w:rsidRDefault="00DF4CA4">
      <w:pPr>
        <w:jc w:val="both"/>
        <w:rPr>
          <w:rFonts w:ascii="Roboto" w:hAnsi="Roboto" w:cs="Calibri"/>
          <w:sz w:val="20"/>
          <w:szCs w:val="20"/>
        </w:rPr>
      </w:pPr>
      <w:r>
        <w:rPr>
          <w:rFonts w:ascii="Roboto" w:hAnsi="Roboto" w:cs="Calibri"/>
          <w:sz w:val="20"/>
          <w:szCs w:val="20"/>
        </w:rPr>
        <w:t>Nel mese di ottobre 2018, il Gruppo di lavoro in materia di sicurezza ha presentato i risultati dell’attività svolta a partire d</w:t>
      </w:r>
      <w:r>
        <w:rPr>
          <w:rFonts w:ascii="Roboto" w:hAnsi="Roboto" w:cs="Calibri"/>
          <w:sz w:val="20"/>
          <w:szCs w:val="20"/>
        </w:rPr>
        <w:t>al 2012. E’ stato quindi pubblicato il “Rapporto sulla sicurezza in Trentino”, che conferma gli esiti delle richiamate indagini statistiche, evidenziando come, allo stato attuale, il rispetto della legalità risulti adeguatamente garantito sull’intero terri</w:t>
      </w:r>
      <w:r>
        <w:rPr>
          <w:rFonts w:ascii="Roboto" w:hAnsi="Roboto" w:cs="Calibri"/>
          <w:sz w:val="20"/>
          <w:szCs w:val="20"/>
        </w:rPr>
        <w:t xml:space="preserve">torio provinciale. </w:t>
      </w:r>
    </w:p>
    <w:p w14:paraId="52C42025" w14:textId="77777777" w:rsidR="003A719B" w:rsidRDefault="00DF4CA4">
      <w:pPr>
        <w:jc w:val="both"/>
      </w:pPr>
      <w:r>
        <w:rPr>
          <w:rFonts w:ascii="Roboto" w:hAnsi="Roboto" w:cs="Calibri"/>
          <w:sz w:val="20"/>
          <w:szCs w:val="20"/>
        </w:rPr>
        <w:t xml:space="preserve">I contenuti del documento sono consultabili e scaricabili dalla pagina ufficiale della Provincia autonoma di Trento al seguente link: </w:t>
      </w:r>
      <w:hyperlink r:id="rId42" w:history="1">
        <w:r>
          <w:rPr>
            <w:rStyle w:val="Collegamentoipertestuale"/>
            <w:rFonts w:ascii="Roboto" w:hAnsi="Roboto" w:cs="Calibri"/>
            <w:sz w:val="20"/>
            <w:szCs w:val="20"/>
          </w:rPr>
          <w:t>http://www.provincia.tn.it/binary/pat_portale/anticorruzione_pat/Rapporto_sulla_sicurezza_inTtrent ino_10_2018.1547130902.pdf</w:t>
        </w:r>
      </w:hyperlink>
      <w:r>
        <w:rPr>
          <w:rFonts w:ascii="Roboto" w:hAnsi="Roboto" w:cs="Calibri"/>
          <w:sz w:val="20"/>
          <w:szCs w:val="20"/>
        </w:rPr>
        <w:t xml:space="preserve"> . </w:t>
      </w:r>
    </w:p>
    <w:p w14:paraId="49120DE6" w14:textId="77777777" w:rsidR="003A719B" w:rsidRDefault="00DF4CA4">
      <w:pPr>
        <w:jc w:val="both"/>
        <w:rPr>
          <w:rFonts w:ascii="Roboto" w:hAnsi="Roboto" w:cs="Calibri"/>
          <w:sz w:val="20"/>
          <w:szCs w:val="20"/>
        </w:rPr>
      </w:pPr>
      <w:r>
        <w:rPr>
          <w:rFonts w:ascii="Roboto" w:hAnsi="Roboto" w:cs="Calibri"/>
          <w:sz w:val="20"/>
          <w:szCs w:val="20"/>
        </w:rPr>
        <w:t>Lo studio rende una fotografia complessiva della diffusione della criminalità sul terr</w:t>
      </w:r>
      <w:r>
        <w:rPr>
          <w:rFonts w:ascii="Roboto" w:hAnsi="Roboto" w:cs="Calibri"/>
          <w:sz w:val="20"/>
          <w:szCs w:val="20"/>
        </w:rPr>
        <w:t>itorio trentino sia rispetto allo stato di infiltrazione criminale nel tessuto economico, sia in termini di fenomeni corruttivi nell’amministrazione pubblica.</w:t>
      </w:r>
    </w:p>
    <w:p w14:paraId="54ABFDF4" w14:textId="77777777" w:rsidR="003A719B" w:rsidRDefault="00DF4CA4">
      <w:pPr>
        <w:jc w:val="both"/>
        <w:rPr>
          <w:rFonts w:ascii="Roboto" w:hAnsi="Roboto" w:cs="Calibri"/>
          <w:sz w:val="20"/>
          <w:szCs w:val="20"/>
        </w:rPr>
      </w:pPr>
      <w:r>
        <w:rPr>
          <w:rFonts w:ascii="Roboto" w:hAnsi="Roboto" w:cs="Calibri"/>
          <w:sz w:val="20"/>
          <w:szCs w:val="20"/>
        </w:rPr>
        <w:t>In particolare, secondo i dati forniti dal Dipartimento della pubblica sicurezza del Ministero de</w:t>
      </w:r>
      <w:r>
        <w:rPr>
          <w:rFonts w:ascii="Roboto" w:hAnsi="Roboto" w:cs="Calibri"/>
          <w:sz w:val="20"/>
          <w:szCs w:val="20"/>
        </w:rPr>
        <w:t xml:space="preserve">ll’Interno, con riferimento all’anno 2017, i delitti commessi sono in totale 2.232.552, con una flessione rispetto ai 2.457.764 del 2016. Sono calati gli omicidi, le rapine, i furti in abitazione, questi ultimi, presumibilmente per l’impiego di tecnologie </w:t>
      </w:r>
      <w:r>
        <w:rPr>
          <w:rFonts w:ascii="Roboto" w:hAnsi="Roboto" w:cs="Calibri"/>
          <w:sz w:val="20"/>
          <w:szCs w:val="20"/>
        </w:rPr>
        <w:t>più sofisticate antintrusione. Avendo riguardo ad un indice riferito ad ogni 100.000 abitanti, mentre Milano risulta avere un indice di 7375 delitti (con un totale di 237.365 delitti (denunciati), Trento risulta avere un indice di 3.030 delitti; ben inferi</w:t>
      </w:r>
      <w:r>
        <w:rPr>
          <w:rFonts w:ascii="Roboto" w:hAnsi="Roboto" w:cs="Calibri"/>
          <w:sz w:val="20"/>
          <w:szCs w:val="20"/>
        </w:rPr>
        <w:t>ore alla media nazionale per provincia che è di 4.105 delitti.</w:t>
      </w:r>
    </w:p>
    <w:p w14:paraId="653A6BD4" w14:textId="77777777" w:rsidR="003A719B" w:rsidRDefault="00DF4CA4">
      <w:pPr>
        <w:jc w:val="both"/>
      </w:pPr>
      <w:r>
        <w:rPr>
          <w:rFonts w:ascii="Roboto" w:hAnsi="Roboto" w:cs="Calibri"/>
          <w:sz w:val="20"/>
          <w:szCs w:val="20"/>
        </w:rPr>
        <w:t>Lo studio citato privilegia però un giudizio sull’andamento della criminalità “settoriale”, anziché una considerazione complessiva: “</w:t>
      </w:r>
      <w:r>
        <w:rPr>
          <w:rFonts w:ascii="Roboto" w:hAnsi="Roboto" w:cs="Calibri"/>
          <w:i/>
          <w:iCs/>
          <w:sz w:val="20"/>
          <w:szCs w:val="20"/>
        </w:rPr>
        <w:t>Con il D.Lgs. 25 maggio 2015, n. 90, l’Italia ha recepito la</w:t>
      </w:r>
      <w:r>
        <w:rPr>
          <w:rFonts w:ascii="Roboto" w:hAnsi="Roboto" w:cs="Calibri"/>
          <w:i/>
          <w:iCs/>
          <w:sz w:val="20"/>
          <w:szCs w:val="20"/>
        </w:rPr>
        <w:t xml:space="preserve"> direttiva UE 2015/849 in materia di riciclaggio, con la quale sono stare fissate le misure dirette a prevenire il riciclaggio e il favoreggiamento del terrorismo. In questo settore, il volume delle investigazioni, quale risultato dalla Relazioni del Comit</w:t>
      </w:r>
      <w:r>
        <w:rPr>
          <w:rFonts w:ascii="Roboto" w:hAnsi="Roboto" w:cs="Calibri"/>
          <w:i/>
          <w:iCs/>
          <w:sz w:val="20"/>
          <w:szCs w:val="20"/>
        </w:rPr>
        <w:t>ato di sicurezza finanziaria, appare significativamente incrementato, come pure risulta aumentato in maniera esponenziale il numero delle segnalazioni di operazioni sospette trasmesse dalla D.I.A. (Direzione Investigativa Antimafia) alla Direzione Nazional</w:t>
      </w:r>
      <w:r>
        <w:rPr>
          <w:rFonts w:ascii="Roboto" w:hAnsi="Roboto" w:cs="Calibri"/>
          <w:i/>
          <w:iCs/>
          <w:sz w:val="20"/>
          <w:szCs w:val="20"/>
        </w:rPr>
        <w:t>e Antimafia e Anticorruzione. Così, nel corso del 2016 la U.I.F. (Unità Investigativa Finanziaria) della Banca d’Italia ha ricevuto ben 101.065 segnalazioni di operazioni sospette, con un incremento di oltre 18.000 unità rispetto al 2015 (basti pensare che</w:t>
      </w:r>
      <w:r>
        <w:rPr>
          <w:rFonts w:ascii="Roboto" w:hAnsi="Roboto" w:cs="Calibri"/>
          <w:i/>
          <w:iCs/>
          <w:sz w:val="20"/>
          <w:szCs w:val="20"/>
        </w:rPr>
        <w:t xml:space="preserve"> nel 2012 erano solo 67.000): l’assoluta maggioranza delle segnalazioni (100.435 su 101.065) riguarda il riciclaggio, mentre le altre riguardano il favoreggiamento del terrorismo. Anche nella Regione Trentino Alto-Adige, l’incremento risulta essere stato s</w:t>
      </w:r>
      <w:r>
        <w:rPr>
          <w:rFonts w:ascii="Roboto" w:hAnsi="Roboto" w:cs="Calibri"/>
          <w:i/>
          <w:iCs/>
          <w:sz w:val="20"/>
          <w:szCs w:val="20"/>
        </w:rPr>
        <w:t>ignificativo (del 13,4%). Va però rilevato che solo al 42% delle segnalazioni va riconosciuta una “rischiosità sostanziale” effettiva, corrispondente in altre parole al livello di rischio attribuito di fatto dai segnalanti (...)</w:t>
      </w:r>
      <w:r>
        <w:rPr>
          <w:rFonts w:ascii="Roboto" w:hAnsi="Roboto" w:cs="Calibri"/>
          <w:sz w:val="20"/>
          <w:szCs w:val="20"/>
        </w:rPr>
        <w:t>”</w:t>
      </w:r>
    </w:p>
    <w:p w14:paraId="0D479D54" w14:textId="77777777" w:rsidR="003A719B" w:rsidRDefault="00DF4CA4">
      <w:pPr>
        <w:jc w:val="both"/>
        <w:rPr>
          <w:rFonts w:ascii="Roboto" w:hAnsi="Roboto" w:cs="Calibri"/>
          <w:sz w:val="20"/>
          <w:szCs w:val="20"/>
        </w:rPr>
      </w:pPr>
      <w:r>
        <w:rPr>
          <w:rFonts w:ascii="Roboto" w:hAnsi="Roboto" w:cs="Calibri"/>
          <w:sz w:val="20"/>
          <w:szCs w:val="20"/>
        </w:rPr>
        <w:t>Per documentare la consist</w:t>
      </w:r>
      <w:r>
        <w:rPr>
          <w:rFonts w:ascii="Roboto" w:hAnsi="Roboto" w:cs="Calibri"/>
          <w:sz w:val="20"/>
          <w:szCs w:val="20"/>
        </w:rPr>
        <w:t>enza del fenomeno, nel secondo semestre del 2017, la DIA ha analizzato 45.815 segnalazioni di operazioni sospette, con conseguente esame di 203.830 soggetti segnalati o collegati; da queste sono state selezionate 5.044 segnalazioni, di cui 932 di diretta a</w:t>
      </w:r>
      <w:r>
        <w:rPr>
          <w:rFonts w:ascii="Roboto" w:hAnsi="Roboto" w:cs="Calibri"/>
          <w:sz w:val="20"/>
          <w:szCs w:val="20"/>
        </w:rPr>
        <w:t>ttinenza alla criminalità mafiosa, 4.112 riferibili a “reati spia/sentinella”. Il maggior numero di tali operazioni è stato effettuato nelle regioni settentrionali, in particolare (il 20%) in Lombardia. Il Trentino Alto-Adige non è andato immune né da segn</w:t>
      </w:r>
      <w:r>
        <w:rPr>
          <w:rFonts w:ascii="Roboto" w:hAnsi="Roboto" w:cs="Calibri"/>
          <w:sz w:val="20"/>
          <w:szCs w:val="20"/>
        </w:rPr>
        <w:t>alazioni attinenti alla criminalità organizzata (177), né da quelle attinenti a reati spia (444).</w:t>
      </w:r>
    </w:p>
    <w:p w14:paraId="0F6B55EB" w14:textId="77777777" w:rsidR="003A719B" w:rsidRDefault="00DF4CA4">
      <w:pPr>
        <w:jc w:val="both"/>
        <w:rPr>
          <w:rFonts w:ascii="Roboto" w:hAnsi="Roboto" w:cs="Calibri"/>
          <w:sz w:val="20"/>
          <w:szCs w:val="20"/>
        </w:rPr>
      </w:pPr>
      <w:r>
        <w:rPr>
          <w:rFonts w:ascii="Roboto" w:hAnsi="Roboto" w:cs="Calibri"/>
          <w:sz w:val="20"/>
          <w:szCs w:val="20"/>
        </w:rPr>
        <w:t>Ed ancora lo studio precisa che: “Nel registro REGE della Procura di Trento sono state iscritte nel periodo 1° luglio 2016 - 30 giugno 2017 n. 5.798 denunce d</w:t>
      </w:r>
      <w:r>
        <w:rPr>
          <w:rFonts w:ascii="Roboto" w:hAnsi="Roboto" w:cs="Calibri"/>
          <w:sz w:val="20"/>
          <w:szCs w:val="20"/>
        </w:rPr>
        <w:t>i reato contro persone note e 9.192 contro persone ignote; in totale 14.990 iscrizioni, con una flessione rispetto all’anno precedente, dove il dato complessivo era stato di 15.806 iscrizioni. Il dato è però comprensivo anche delle contravvenzioni e dei re</w:t>
      </w:r>
      <w:r>
        <w:rPr>
          <w:rFonts w:ascii="Roboto" w:hAnsi="Roboto" w:cs="Calibri"/>
          <w:sz w:val="20"/>
          <w:szCs w:val="20"/>
        </w:rPr>
        <w:t>ati di competenza del Giudice di Pace, sicché è opportuna piuttosto la disaggregazione anziché una considerazione complessiva. Quanto ai reati di criminalità organizzata ed in particolare quelli di competenza della DDA (Direzione Distrettuale Antimafia), i</w:t>
      </w:r>
      <w:r>
        <w:rPr>
          <w:rFonts w:ascii="Roboto" w:hAnsi="Roboto" w:cs="Calibri"/>
          <w:sz w:val="20"/>
          <w:szCs w:val="20"/>
        </w:rPr>
        <w:t>l numero delle iscrizioni risulta oscillare fra le 18 e le 20 per ogni anno considerato dal 1° luglio 2012 al 30 giugno 2017 e la maggioranza è costituita dalle associazioni considerate dall’art. 74 del Testo unico in materia di sostanze stupefacenti.</w:t>
      </w:r>
    </w:p>
    <w:p w14:paraId="23CBC6E7" w14:textId="77777777" w:rsidR="003A719B" w:rsidRDefault="00DF4CA4">
      <w:pPr>
        <w:jc w:val="both"/>
      </w:pPr>
      <w:r>
        <w:rPr>
          <w:rFonts w:ascii="Roboto" w:hAnsi="Roboto" w:cs="Calibri"/>
          <w:sz w:val="20"/>
          <w:szCs w:val="20"/>
        </w:rPr>
        <w:t>Al r</w:t>
      </w:r>
      <w:r>
        <w:rPr>
          <w:rFonts w:ascii="Roboto" w:hAnsi="Roboto" w:cs="Calibri"/>
          <w:sz w:val="20"/>
          <w:szCs w:val="20"/>
        </w:rPr>
        <w:t>iguardo merita di essere segnalato “l’allarme” lanciato dal Procuratore Nazionale Antimafia, il quale nella Relazione finale della Commissione parlamentare antidroga, per descrivere l’espansione della criminalità organizzata nelle Regioni settentrionali, a</w:t>
      </w:r>
      <w:r>
        <w:rPr>
          <w:rFonts w:ascii="Roboto" w:hAnsi="Roboto" w:cs="Calibri"/>
          <w:sz w:val="20"/>
          <w:szCs w:val="20"/>
        </w:rPr>
        <w:t>fferma: “</w:t>
      </w:r>
      <w:r>
        <w:rPr>
          <w:rFonts w:ascii="Roboto" w:hAnsi="Roboto" w:cs="Calibri"/>
          <w:i/>
          <w:iCs/>
          <w:sz w:val="20"/>
          <w:szCs w:val="20"/>
        </w:rPr>
        <w:t>la presenza della mafia nel Veneto, Friuli Venezia Giulia, Trentino Alto-Adige, non appare così consolidata e strutturata come nelle Regioni del Nord-ovest, ma diversi elementi fanno ritenere che sia in atto un’attività criminosa più intensa di qu</w:t>
      </w:r>
      <w:r>
        <w:rPr>
          <w:rFonts w:ascii="Roboto" w:hAnsi="Roboto" w:cs="Calibri"/>
          <w:i/>
          <w:iCs/>
          <w:sz w:val="20"/>
          <w:szCs w:val="20"/>
        </w:rPr>
        <w:t>anto finora emerso, perché l’area è considerata molto attrattiva</w:t>
      </w:r>
      <w:r>
        <w:rPr>
          <w:rFonts w:ascii="Roboto" w:hAnsi="Roboto" w:cs="Calibri"/>
          <w:sz w:val="20"/>
          <w:szCs w:val="20"/>
        </w:rPr>
        <w:t>”. Ed ancora: “</w:t>
      </w:r>
      <w:r>
        <w:rPr>
          <w:rFonts w:ascii="Roboto" w:hAnsi="Roboto" w:cs="Calibri"/>
          <w:i/>
          <w:iCs/>
          <w:sz w:val="20"/>
          <w:szCs w:val="20"/>
        </w:rPr>
        <w:t>nel Trentino e nell’Alto-Adige, pur non evidenziandosi il radicamento di organizzazioni mafiose, sono stati individuati soggetti contigui a quelli criminali, che si sono inserit</w:t>
      </w:r>
      <w:r>
        <w:rPr>
          <w:rFonts w:ascii="Roboto" w:hAnsi="Roboto" w:cs="Calibri"/>
          <w:i/>
          <w:iCs/>
          <w:sz w:val="20"/>
          <w:szCs w:val="20"/>
        </w:rPr>
        <w:t>i nel nuovo contesto socio-economico e che operando direttamente o tramite prestanome hanno investito risorse di provenienza illecita</w:t>
      </w:r>
      <w:r>
        <w:rPr>
          <w:rFonts w:ascii="Roboto" w:hAnsi="Roboto" w:cs="Calibri"/>
          <w:sz w:val="20"/>
          <w:szCs w:val="20"/>
        </w:rPr>
        <w:t>”.</w:t>
      </w:r>
    </w:p>
    <w:p w14:paraId="5B9A5E0A" w14:textId="77777777" w:rsidR="003A719B" w:rsidRDefault="00DF4CA4">
      <w:pPr>
        <w:jc w:val="both"/>
        <w:rPr>
          <w:rFonts w:ascii="Roboto" w:hAnsi="Roboto" w:cs="Calibri"/>
          <w:sz w:val="20"/>
          <w:szCs w:val="20"/>
        </w:rPr>
      </w:pPr>
      <w:r>
        <w:rPr>
          <w:rFonts w:ascii="Roboto" w:hAnsi="Roboto" w:cs="Calibri"/>
          <w:sz w:val="20"/>
          <w:szCs w:val="20"/>
        </w:rPr>
        <w:t>Sempre dall’esame delle statistiche della Procura della Repubblica sembra emergere che:</w:t>
      </w:r>
    </w:p>
    <w:p w14:paraId="4C168278" w14:textId="77777777" w:rsidR="003A719B" w:rsidRDefault="00DF4CA4">
      <w:pPr>
        <w:jc w:val="both"/>
        <w:rPr>
          <w:rFonts w:ascii="Roboto" w:hAnsi="Roboto" w:cs="Calibri"/>
          <w:i/>
          <w:iCs/>
          <w:sz w:val="20"/>
          <w:szCs w:val="20"/>
        </w:rPr>
      </w:pPr>
      <w:r>
        <w:rPr>
          <w:rFonts w:ascii="Roboto" w:hAnsi="Roboto" w:cs="Calibri"/>
          <w:i/>
          <w:iCs/>
          <w:sz w:val="20"/>
          <w:szCs w:val="20"/>
        </w:rPr>
        <w:t xml:space="preserve">“- quanto ai reati di </w:t>
      </w:r>
      <w:r>
        <w:rPr>
          <w:rFonts w:ascii="Roboto" w:hAnsi="Roboto" w:cs="Calibri"/>
          <w:i/>
          <w:iCs/>
          <w:sz w:val="20"/>
          <w:szCs w:val="20"/>
        </w:rPr>
        <w:t>riciclaggio, usura, violazione delle norme di prevenzione, il numero di reati sopravvenuti da 1.7.2013 a 30.6.2014, da 1.7.2014 a 30.6.2015, da 1.7.2015 a 30.6.2016, da 1.7.2016 a 30.6.2017 è pressoché stabile e modesto aggirantesi sull’ordine della trenti</w:t>
      </w:r>
      <w:r>
        <w:rPr>
          <w:rFonts w:ascii="Roboto" w:hAnsi="Roboto" w:cs="Calibri"/>
          <w:i/>
          <w:iCs/>
          <w:sz w:val="20"/>
          <w:szCs w:val="20"/>
        </w:rPr>
        <w:t>na;</w:t>
      </w:r>
    </w:p>
    <w:p w14:paraId="16981175" w14:textId="77777777" w:rsidR="003A719B" w:rsidRDefault="00DF4CA4">
      <w:pPr>
        <w:jc w:val="both"/>
      </w:pPr>
      <w:r>
        <w:rPr>
          <w:rFonts w:ascii="Roboto" w:hAnsi="Roboto" w:cs="Calibri"/>
          <w:i/>
          <w:iCs/>
          <w:sz w:val="20"/>
          <w:szCs w:val="20"/>
        </w:rPr>
        <w:t>- quanto ai reati di corruzione, le denunce di reato nell’ultimo periodo risultano anch’esse pressoché insignificanti, mentre si è quasi raddoppiato (da 24 a 44) il numero delle denunce per abuso di ufficio. Va tuttavia considerato che l’incremento del</w:t>
      </w:r>
      <w:r>
        <w:rPr>
          <w:rFonts w:ascii="Roboto" w:hAnsi="Roboto" w:cs="Calibri"/>
          <w:i/>
          <w:iCs/>
          <w:sz w:val="20"/>
          <w:szCs w:val="20"/>
        </w:rPr>
        <w:t>le denunce per questa ipotesi delittuosa può non essere significativo, essendo ben possibile che nel seguito dell’iter processuale cada il fondamento della violazione</w:t>
      </w:r>
      <w:r>
        <w:rPr>
          <w:rFonts w:ascii="Roboto" w:hAnsi="Roboto" w:cs="Calibri"/>
          <w:sz w:val="20"/>
          <w:szCs w:val="20"/>
        </w:rPr>
        <w:t>.”</w:t>
      </w:r>
    </w:p>
    <w:p w14:paraId="62E28381" w14:textId="77777777" w:rsidR="003A719B" w:rsidRDefault="00DF4CA4">
      <w:pPr>
        <w:jc w:val="both"/>
      </w:pPr>
      <w:r>
        <w:rPr>
          <w:rFonts w:ascii="Roboto" w:hAnsi="Roboto" w:cs="Calibri"/>
          <w:sz w:val="20"/>
          <w:szCs w:val="20"/>
        </w:rPr>
        <w:t>Le conclusioni tracciate nel lavoro menzionato, che qui si riportano integralmente, son</w:t>
      </w:r>
      <w:r>
        <w:rPr>
          <w:rFonts w:ascii="Roboto" w:hAnsi="Roboto" w:cs="Calibri"/>
          <w:sz w:val="20"/>
          <w:szCs w:val="20"/>
        </w:rPr>
        <w:t>o sufficientemente tranquillizzanti e rassicuranti: “</w:t>
      </w:r>
      <w:r>
        <w:rPr>
          <w:rFonts w:ascii="Roboto" w:hAnsi="Roboto" w:cs="Calibri"/>
          <w:i/>
          <w:iCs/>
          <w:sz w:val="20"/>
          <w:szCs w:val="20"/>
        </w:rPr>
        <w:t>Infatti, sebbene il tessuto economico trentino appaia - rispetto a quello di altre Regioni - sostanzialmente florido e appetibile per gli operatori, e di conseguenza non assolutamente immune dalla “possi</w:t>
      </w:r>
      <w:r>
        <w:rPr>
          <w:rFonts w:ascii="Roboto" w:hAnsi="Roboto" w:cs="Calibri"/>
          <w:i/>
          <w:iCs/>
          <w:sz w:val="20"/>
          <w:szCs w:val="20"/>
        </w:rPr>
        <w:t xml:space="preserve">bilità” di infiltrazioni criminose, attualmente il rispetto della legalità sembra adeguatamente garantito. </w:t>
      </w:r>
      <w:r>
        <w:rPr>
          <w:rFonts w:ascii="Roboto" w:hAnsi="Roboto" w:cs="Calibri"/>
          <w:i/>
          <w:iCs/>
          <w:sz w:val="20"/>
          <w:szCs w:val="20"/>
        </w:rPr>
        <w:lastRenderedPageBreak/>
        <w:t>Quanto, invece, alla percezione dell’illegalità da parte degli operatori del Trentino, emerge la richiesta di una maggiore giustizia e sicurezza, che</w:t>
      </w:r>
      <w:r>
        <w:rPr>
          <w:rFonts w:ascii="Roboto" w:hAnsi="Roboto" w:cs="Calibri"/>
          <w:i/>
          <w:iCs/>
          <w:sz w:val="20"/>
          <w:szCs w:val="20"/>
        </w:rPr>
        <w:t xml:space="preserve"> sarà tenuta in debita considerazione negli sviluppi futuri dell’attività del gruppo di lavoro. Il tema della sicurezza e della misura e della percezione di insicurezza da parte dei cittadini è stato correttamente tenuto presente dal gruppo di lavoro, ove </w:t>
      </w:r>
      <w:r>
        <w:rPr>
          <w:rFonts w:ascii="Roboto" w:hAnsi="Roboto" w:cs="Calibri"/>
          <w:i/>
          <w:iCs/>
          <w:sz w:val="20"/>
          <w:szCs w:val="20"/>
        </w:rPr>
        <w:t xml:space="preserve">si osservi che l’art. 9 dello Statuto di autonomia attribuisce alla Provincia una competenza legislativa secondaria in materia di sicurezza locale, e che gli artt. 1 e 3 della legge provinciale 27 giugno 2005, n. 8, dispongono che la Provincia promuova la </w:t>
      </w:r>
      <w:r>
        <w:rPr>
          <w:rFonts w:ascii="Roboto" w:hAnsi="Roboto" w:cs="Calibri"/>
          <w:i/>
          <w:iCs/>
          <w:sz w:val="20"/>
          <w:szCs w:val="20"/>
        </w:rPr>
        <w:t>realizzazione di un sistema integrato di sicurezza</w:t>
      </w:r>
      <w:r>
        <w:rPr>
          <w:rFonts w:ascii="Roboto" w:hAnsi="Roboto" w:cs="Calibri"/>
          <w:sz w:val="20"/>
          <w:szCs w:val="20"/>
        </w:rPr>
        <w:t>”.</w:t>
      </w:r>
    </w:p>
    <w:p w14:paraId="26DBC913" w14:textId="77777777" w:rsidR="003A719B" w:rsidRDefault="003A719B">
      <w:pPr>
        <w:pStyle w:val="Paragrafoelenco"/>
        <w:jc w:val="both"/>
        <w:rPr>
          <w:rFonts w:ascii="Roboto" w:hAnsi="Roboto" w:cs="Calibri"/>
          <w:sz w:val="20"/>
          <w:szCs w:val="20"/>
        </w:rPr>
      </w:pPr>
    </w:p>
    <w:p w14:paraId="58BDB63E" w14:textId="77777777" w:rsidR="003A719B" w:rsidRDefault="00DF4CA4">
      <w:pPr>
        <w:pStyle w:val="Paragrafoelenco"/>
        <w:widowControl/>
        <w:numPr>
          <w:ilvl w:val="0"/>
          <w:numId w:val="16"/>
        </w:numPr>
        <w:suppressAutoHyphens w:val="0"/>
        <w:jc w:val="both"/>
        <w:textAlignment w:val="auto"/>
      </w:pPr>
      <w:r>
        <w:rPr>
          <w:rFonts w:ascii="Roboto" w:hAnsi="Roboto" w:cs="Calibri"/>
          <w:sz w:val="20"/>
          <w:szCs w:val="20"/>
          <w:u w:val="single"/>
        </w:rPr>
        <w:t>Rapporto ANAC 2019: “La corruzione in Italia (2016-2019). Numeri, luoghi e contropartite del malaffare</w:t>
      </w:r>
      <w:r>
        <w:rPr>
          <w:rFonts w:ascii="Roboto" w:hAnsi="Roboto" w:cs="Calibri"/>
          <w:sz w:val="20"/>
          <w:szCs w:val="20"/>
        </w:rPr>
        <w:t>”.</w:t>
      </w:r>
    </w:p>
    <w:p w14:paraId="01054849" w14:textId="77777777" w:rsidR="003A719B" w:rsidRDefault="00DF4CA4">
      <w:pPr>
        <w:jc w:val="both"/>
      </w:pPr>
      <w:r>
        <w:rPr>
          <w:rFonts w:ascii="Roboto" w:hAnsi="Roboto" w:cs="Calibri"/>
          <w:sz w:val="20"/>
          <w:szCs w:val="20"/>
        </w:rPr>
        <w:t>ANAC ha inoltre pubblicato il 17 ottobre 2019 un rapporto dal titolo</w:t>
      </w:r>
      <w:r>
        <w:rPr>
          <w:rFonts w:ascii="Roboto" w:hAnsi="Roboto" w:cs="Calibri"/>
          <w:i/>
          <w:iCs/>
          <w:sz w:val="20"/>
          <w:szCs w:val="20"/>
        </w:rPr>
        <w:t xml:space="preserve"> “La corruzione in Italia (20</w:t>
      </w:r>
      <w:r>
        <w:rPr>
          <w:rFonts w:ascii="Roboto" w:hAnsi="Roboto" w:cs="Calibri"/>
          <w:i/>
          <w:iCs/>
          <w:sz w:val="20"/>
          <w:szCs w:val="20"/>
        </w:rPr>
        <w:t>16-2019). Numeri, luoghi e contropartite del malaffare</w:t>
      </w:r>
      <w:r>
        <w:rPr>
          <w:rFonts w:ascii="Roboto" w:hAnsi="Roboto" w:cs="Calibri"/>
          <w:sz w:val="20"/>
          <w:szCs w:val="20"/>
        </w:rPr>
        <w:t>”, redatto nell’ambito del Programma Operativo Nazionale “</w:t>
      </w:r>
      <w:r>
        <w:rPr>
          <w:rFonts w:ascii="Roboto" w:hAnsi="Roboto" w:cs="Calibri"/>
          <w:i/>
          <w:iCs/>
          <w:sz w:val="20"/>
          <w:szCs w:val="20"/>
        </w:rPr>
        <w:t>Governance e Capacità Istituzionale 2014-2020</w:t>
      </w:r>
      <w:r>
        <w:rPr>
          <w:rFonts w:ascii="Roboto" w:hAnsi="Roboto" w:cs="Calibri"/>
          <w:sz w:val="20"/>
          <w:szCs w:val="20"/>
        </w:rPr>
        <w:t>”, finanziato dall’Unione europea, che punta a definire un set di indicatori in grado di individuar</w:t>
      </w:r>
      <w:r>
        <w:rPr>
          <w:rFonts w:ascii="Roboto" w:hAnsi="Roboto" w:cs="Calibri"/>
          <w:sz w:val="20"/>
          <w:szCs w:val="20"/>
        </w:rPr>
        <w:t xml:space="preserve">e il rischio di corruzione nella Pubblica amministrazione. </w:t>
      </w:r>
    </w:p>
    <w:p w14:paraId="42B2D13E" w14:textId="77777777" w:rsidR="003A719B" w:rsidRDefault="00DF4CA4">
      <w:pPr>
        <w:jc w:val="both"/>
        <w:rPr>
          <w:rFonts w:ascii="Roboto" w:hAnsi="Roboto" w:cs="Calibri"/>
          <w:sz w:val="20"/>
          <w:szCs w:val="20"/>
        </w:rPr>
      </w:pPr>
      <w:r>
        <w:rPr>
          <w:rFonts w:ascii="Roboto" w:hAnsi="Roboto" w:cs="Calibri"/>
          <w:sz w:val="20"/>
          <w:szCs w:val="20"/>
        </w:rPr>
        <w:t>Con il supporto del personale della Guardia di Finanza impiegato presso l’ANAC, sono stati analizzati i provvedimenti emessi dall’Autorità giudiziaria nell’ultimo triennio nel caso di commissariam</w:t>
      </w:r>
      <w:r>
        <w:rPr>
          <w:rFonts w:ascii="Roboto" w:hAnsi="Roboto" w:cs="Calibri"/>
          <w:sz w:val="20"/>
          <w:szCs w:val="20"/>
        </w:rPr>
        <w:t xml:space="preserve">ento degli appalti assegnati illecitamente (41 appalti ad oggi). Grazie alle informazioni raccolte, l’Autorità ha potuto redigere un quadro dettagliato delle vicende corruttive in termini di dislocazione geografica, contropartite, enti, settori e soggetti </w:t>
      </w:r>
      <w:r>
        <w:rPr>
          <w:rFonts w:ascii="Roboto" w:hAnsi="Roboto" w:cs="Calibri"/>
          <w:sz w:val="20"/>
          <w:szCs w:val="20"/>
        </w:rPr>
        <w:t>coinvolti. Gli elementi tratti dalle indagini penali possono, a detta di ANAC, fornire importanti indicazioni riguardo la fenomenologia riscontrata in concreto e i fattori che ne agevolano la diffusione, favorendo l’elaborazione di indici sintomatici di po</w:t>
      </w:r>
      <w:r>
        <w:rPr>
          <w:rFonts w:ascii="Roboto" w:hAnsi="Roboto" w:cs="Calibri"/>
          <w:sz w:val="20"/>
          <w:szCs w:val="20"/>
        </w:rPr>
        <w:t>ssibili comportamenti corruttivi.</w:t>
      </w:r>
    </w:p>
    <w:p w14:paraId="6111FE41" w14:textId="77777777" w:rsidR="003A719B" w:rsidRDefault="00DF4CA4">
      <w:pPr>
        <w:jc w:val="both"/>
        <w:rPr>
          <w:rFonts w:ascii="Roboto" w:hAnsi="Roboto" w:cs="Calibri"/>
          <w:sz w:val="20"/>
          <w:szCs w:val="20"/>
        </w:rPr>
      </w:pPr>
      <w:r>
        <w:rPr>
          <w:rFonts w:ascii="Roboto" w:hAnsi="Roboto" w:cs="Calibri"/>
          <w:sz w:val="20"/>
          <w:szCs w:val="20"/>
        </w:rPr>
        <w:t>Se ne riportano di seguito alcuni stralci particolarmente significati per l’analisi del contesto esterno in cui opera l’Amministrazione:</w:t>
      </w:r>
    </w:p>
    <w:p w14:paraId="0A53FAE7" w14:textId="77777777" w:rsidR="003A719B" w:rsidRDefault="00DF4CA4">
      <w:pPr>
        <w:jc w:val="both"/>
        <w:rPr>
          <w:rFonts w:ascii="Roboto" w:hAnsi="Roboto" w:cs="Calibri"/>
          <w:sz w:val="20"/>
          <w:szCs w:val="20"/>
        </w:rPr>
      </w:pPr>
      <w:r>
        <w:rPr>
          <w:rFonts w:ascii="Roboto" w:hAnsi="Roboto" w:cs="Calibri"/>
          <w:sz w:val="20"/>
          <w:szCs w:val="20"/>
        </w:rPr>
        <w:t>Fra agosto 2016 e agosto 2019 sono state 117 le ordinanze di custodia cautelare per c</w:t>
      </w:r>
      <w:r>
        <w:rPr>
          <w:rFonts w:ascii="Roboto" w:hAnsi="Roboto" w:cs="Calibri"/>
          <w:sz w:val="20"/>
          <w:szCs w:val="20"/>
        </w:rPr>
        <w:t>orruzione spiccate dall’Autorità giudiziaria in Italia e correlate in qualche modo al settore degli appalti: esemplificando è quindi possibile affermare che sono stati eseguiti arresti ogni 10 giorni circa. Si tratta in ogni caso di una approssimazione pe</w:t>
      </w:r>
      <w:r>
        <w:rPr>
          <w:rFonts w:ascii="Roboto" w:hAnsi="Roboto" w:cs="Calibri"/>
          <w:sz w:val="20"/>
          <w:szCs w:val="20"/>
        </w:rPr>
        <w:t>r difetto rispetto al totale, poiché ordinanze che ictu oculi non rientravano nel perimetro di competenza dell’Anac non sono state acquisite.</w:t>
      </w:r>
    </w:p>
    <w:p w14:paraId="52CD29FD" w14:textId="77777777" w:rsidR="003A719B" w:rsidRDefault="00DF4CA4">
      <w:pPr>
        <w:jc w:val="both"/>
        <w:rPr>
          <w:rFonts w:ascii="Roboto" w:hAnsi="Roboto" w:cs="Calibri"/>
          <w:sz w:val="20"/>
          <w:szCs w:val="20"/>
        </w:rPr>
      </w:pPr>
      <w:r>
        <w:rPr>
          <w:rFonts w:ascii="Roboto" w:hAnsi="Roboto" w:cs="Calibri"/>
          <w:sz w:val="20"/>
          <w:szCs w:val="20"/>
        </w:rPr>
        <w:t>In linea con questa cadenza temporale sono anche i casi di corruzione emersi analizzando i provvedimenti della mag</w:t>
      </w:r>
      <w:r>
        <w:rPr>
          <w:rFonts w:ascii="Roboto" w:hAnsi="Roboto" w:cs="Calibri"/>
          <w:sz w:val="20"/>
          <w:szCs w:val="20"/>
        </w:rPr>
        <w:t>istratura: 152, ovvero uno a settimana (solo a considerare quelli scoperti). A essere interessate sono state pressoché tutte le regioni d’Italia, a eccezione del Friuli-Venezia Giulia e del Molise (tab. 1).</w:t>
      </w:r>
    </w:p>
    <w:p w14:paraId="23D09FFC" w14:textId="77777777" w:rsidR="003A719B" w:rsidRDefault="003A719B">
      <w:pPr>
        <w:ind w:firstLine="708"/>
        <w:jc w:val="both"/>
        <w:rPr>
          <w:rFonts w:ascii="Roboto" w:hAnsi="Roboto" w:cs="Calibri"/>
          <w:sz w:val="20"/>
          <w:szCs w:val="20"/>
        </w:rPr>
      </w:pPr>
    </w:p>
    <w:p w14:paraId="15964E8E" w14:textId="77777777" w:rsidR="003A719B" w:rsidRDefault="00DF4CA4">
      <w:pPr>
        <w:ind w:firstLine="708"/>
        <w:jc w:val="both"/>
      </w:pPr>
      <w:r>
        <w:rPr>
          <w:rFonts w:ascii="Roboto" w:hAnsi="Roboto" w:cs="Calibri"/>
          <w:sz w:val="20"/>
          <w:szCs w:val="20"/>
        </w:rPr>
        <w:t xml:space="preserve"> </w:t>
      </w:r>
      <w:r>
        <w:rPr>
          <w:rFonts w:ascii="Roboto" w:eastAsia="Times New Roman" w:hAnsi="Roboto"/>
          <w:noProof/>
          <w:sz w:val="20"/>
          <w:szCs w:val="20"/>
        </w:rPr>
        <w:drawing>
          <wp:inline distT="0" distB="0" distL="0" distR="0" wp14:anchorId="2792D3D2" wp14:editId="46D4E293">
            <wp:extent cx="4269735" cy="377820"/>
            <wp:effectExtent l="0" t="0" r="0" b="3180"/>
            <wp:docPr id="1" name="Immagine 5" descr="page9image1372920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4269735" cy="377820"/>
                    </a:xfrm>
                    <a:prstGeom prst="rect">
                      <a:avLst/>
                    </a:prstGeom>
                    <a:noFill/>
                    <a:ln>
                      <a:noFill/>
                      <a:prstDash/>
                    </a:ln>
                  </pic:spPr>
                </pic:pic>
              </a:graphicData>
            </a:graphic>
          </wp:inline>
        </w:drawing>
      </w:r>
    </w:p>
    <w:p w14:paraId="4250666B" w14:textId="77777777" w:rsidR="003A719B" w:rsidRDefault="00DF4CA4">
      <w:pPr>
        <w:ind w:firstLine="708"/>
        <w:jc w:val="both"/>
      </w:pPr>
      <w:r>
        <w:rPr>
          <w:rFonts w:ascii="Roboto" w:eastAsia="Times New Roman" w:hAnsi="Roboto"/>
          <w:noProof/>
          <w:sz w:val="20"/>
          <w:szCs w:val="20"/>
        </w:rPr>
        <w:drawing>
          <wp:inline distT="0" distB="0" distL="0" distR="0" wp14:anchorId="7004FF96" wp14:editId="0ACE03B3">
            <wp:extent cx="5220967" cy="3145581"/>
            <wp:effectExtent l="0" t="0" r="0" b="0"/>
            <wp:docPr id="2" name="Immagine 7" descr="page9image1372777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220967" cy="3145581"/>
                    </a:xfrm>
                    <a:prstGeom prst="rect">
                      <a:avLst/>
                    </a:prstGeom>
                    <a:noFill/>
                    <a:ln>
                      <a:noFill/>
                      <a:prstDash/>
                    </a:ln>
                  </pic:spPr>
                </pic:pic>
              </a:graphicData>
            </a:graphic>
          </wp:inline>
        </w:drawing>
      </w:r>
    </w:p>
    <w:p w14:paraId="2175DFA1" w14:textId="77777777" w:rsidR="003A719B" w:rsidRDefault="003A719B">
      <w:pPr>
        <w:jc w:val="both"/>
        <w:rPr>
          <w:rFonts w:ascii="Roboto" w:hAnsi="Roboto" w:cs="Calibri"/>
          <w:sz w:val="20"/>
          <w:szCs w:val="20"/>
        </w:rPr>
      </w:pPr>
    </w:p>
    <w:p w14:paraId="4210E547" w14:textId="77777777" w:rsidR="003A719B" w:rsidRDefault="00DF4CA4">
      <w:pPr>
        <w:jc w:val="both"/>
        <w:rPr>
          <w:rFonts w:ascii="Roboto" w:hAnsi="Roboto" w:cs="Calibri"/>
          <w:sz w:val="20"/>
          <w:szCs w:val="20"/>
        </w:rPr>
      </w:pPr>
      <w:r>
        <w:rPr>
          <w:rFonts w:ascii="Roboto" w:hAnsi="Roboto" w:cs="Calibri"/>
          <w:sz w:val="20"/>
          <w:szCs w:val="20"/>
        </w:rPr>
        <w:t>Dal punto di vista numerico, spicca il dat</w:t>
      </w:r>
      <w:r>
        <w:rPr>
          <w:rFonts w:ascii="Roboto" w:hAnsi="Roboto" w:cs="Calibri"/>
          <w:sz w:val="20"/>
          <w:szCs w:val="20"/>
        </w:rPr>
        <w:t>o relativo alla Sicilia, dove nel triennio sono stati registrati 28 episodi di corruzione (18,4% del totale) quasi quanti se ne sono verificati in tutte le regioni del Nord (29 nel loro insieme). A seguire, il Lazio (con 22 casi), la Campania (20), la Pugl</w:t>
      </w:r>
      <w:r>
        <w:rPr>
          <w:rFonts w:ascii="Roboto" w:hAnsi="Roboto" w:cs="Calibri"/>
          <w:sz w:val="20"/>
          <w:szCs w:val="20"/>
        </w:rPr>
        <w:t>ia (16) e la Calabria (14).</w:t>
      </w:r>
    </w:p>
    <w:p w14:paraId="1D389AB4" w14:textId="77777777" w:rsidR="003A719B" w:rsidRDefault="00DF4CA4">
      <w:pPr>
        <w:jc w:val="both"/>
        <w:rPr>
          <w:rFonts w:ascii="Roboto" w:hAnsi="Roboto" w:cs="Calibri"/>
          <w:sz w:val="20"/>
          <w:szCs w:val="20"/>
        </w:rPr>
      </w:pPr>
      <w:r>
        <w:rPr>
          <w:rFonts w:ascii="Roboto" w:hAnsi="Roboto" w:cs="Calibri"/>
          <w:sz w:val="20"/>
          <w:szCs w:val="20"/>
        </w:rPr>
        <w:t xml:space="preserve">Il 74% delle vicende (113 casi) ha riguardato l’assegnazione di appalti pubblici, a conferma della rilevanza del </w:t>
      </w:r>
      <w:r>
        <w:rPr>
          <w:rFonts w:ascii="Roboto" w:hAnsi="Roboto" w:cs="Calibri"/>
          <w:sz w:val="20"/>
          <w:szCs w:val="20"/>
        </w:rPr>
        <w:lastRenderedPageBreak/>
        <w:t xml:space="preserve">settore e degli interessi illeciti a esso legati per via dell’ingente volume economico. Il restante 26%, per un </w:t>
      </w:r>
      <w:r>
        <w:rPr>
          <w:rFonts w:ascii="Roboto" w:hAnsi="Roboto" w:cs="Calibri"/>
          <w:sz w:val="20"/>
          <w:szCs w:val="20"/>
        </w:rPr>
        <w:t>totale di 39 casi, è composto da ambiti di ulteriore tipo (procedure concorsuali, procedimenti amministrativi, concessioni edilizie, corruzione in atti giudiziari, ecc.).</w:t>
      </w:r>
    </w:p>
    <w:p w14:paraId="1F93B0ED" w14:textId="77777777" w:rsidR="003A719B" w:rsidRDefault="00DF4CA4">
      <w:pPr>
        <w:jc w:val="both"/>
        <w:rPr>
          <w:rFonts w:ascii="Roboto" w:hAnsi="Roboto" w:cs="Calibri"/>
          <w:sz w:val="20"/>
          <w:szCs w:val="20"/>
        </w:rPr>
      </w:pPr>
      <w:r>
        <w:rPr>
          <w:rFonts w:ascii="Roboto" w:hAnsi="Roboto" w:cs="Calibri"/>
          <w:sz w:val="20"/>
          <w:szCs w:val="20"/>
        </w:rPr>
        <w:t>L’analisi dell’Anac ha consentito di dare riscontro fattuale al cd. fenomeno della “</w:t>
      </w:r>
      <w:r>
        <w:rPr>
          <w:rFonts w:ascii="Roboto" w:hAnsi="Roboto" w:cs="Calibri"/>
          <w:sz w:val="20"/>
          <w:szCs w:val="20"/>
        </w:rPr>
        <w:t>smaterializzazione” della tangente, che vede una sempre minor ricorrenza della contropartita economica.</w:t>
      </w:r>
    </w:p>
    <w:p w14:paraId="7FF73D26" w14:textId="77777777" w:rsidR="003A719B" w:rsidRDefault="00DF4CA4">
      <w:pPr>
        <w:jc w:val="both"/>
        <w:rPr>
          <w:rFonts w:ascii="Roboto" w:hAnsi="Roboto" w:cs="Calibri"/>
          <w:sz w:val="20"/>
          <w:szCs w:val="20"/>
        </w:rPr>
      </w:pPr>
      <w:r>
        <w:rPr>
          <w:rFonts w:ascii="Roboto" w:hAnsi="Roboto" w:cs="Calibri"/>
          <w:sz w:val="20"/>
          <w:szCs w:val="20"/>
        </w:rPr>
        <w:t>Il denaro continua a rappresentare il principale strumento dell’accordo illecito, tanto da ricorrere nel 48% delle vicende esaminate, sovente per import</w:t>
      </w:r>
      <w:r>
        <w:rPr>
          <w:rFonts w:ascii="Roboto" w:hAnsi="Roboto" w:cs="Calibri"/>
          <w:sz w:val="20"/>
          <w:szCs w:val="20"/>
        </w:rPr>
        <w:t>i esigui (2.000-3.000 euro ma in alcuni casi anche 50-100 euro appena) e talvolta quale percentuale fissa sul valore degli appalti.</w:t>
      </w:r>
    </w:p>
    <w:p w14:paraId="4AF1DED4" w14:textId="77777777" w:rsidR="003A719B" w:rsidRDefault="00DF4CA4">
      <w:pPr>
        <w:jc w:val="both"/>
        <w:rPr>
          <w:rFonts w:ascii="Roboto" w:hAnsi="Roboto" w:cs="Calibri"/>
          <w:sz w:val="20"/>
          <w:szCs w:val="20"/>
        </w:rPr>
      </w:pPr>
      <w:r>
        <w:rPr>
          <w:rFonts w:ascii="Roboto" w:hAnsi="Roboto" w:cs="Calibri"/>
          <w:sz w:val="20"/>
          <w:szCs w:val="20"/>
        </w:rPr>
        <w:t>In particolare, il posto di lavoro si configura come la nuova frontiera del pactum sceleris: soprattutto al Sud l’assunzione</w:t>
      </w:r>
      <w:r>
        <w:rPr>
          <w:rFonts w:ascii="Roboto" w:hAnsi="Roboto" w:cs="Calibri"/>
          <w:sz w:val="20"/>
          <w:szCs w:val="20"/>
        </w:rPr>
        <w:t xml:space="preserve"> di coniugi, congiunti o soggetti comunque legati al corrotto (non di rado da ragioni clientelari) è stata riscontrata nel 13% dei casi. A seguire, a testimonianza del sopravvento di più sofisticate modalità criminali, si colloca l’assegnazione di prestaz</w:t>
      </w:r>
      <w:r>
        <w:rPr>
          <w:rFonts w:ascii="Roboto" w:hAnsi="Roboto" w:cs="Calibri"/>
          <w:sz w:val="20"/>
          <w:szCs w:val="20"/>
        </w:rPr>
        <w:t>ioni professionali (11%), specialmente sotto forma di consulenze, spesso conferite a persone o realtà giuridiche riconducibili al corrotto o in ogni caso compiacenti. Le regalie sono presenti invece nel 7% degli episodi.</w:t>
      </w:r>
    </w:p>
    <w:p w14:paraId="3BFE46F4" w14:textId="77777777" w:rsidR="003A719B" w:rsidRDefault="00DF4CA4">
      <w:pPr>
        <w:jc w:val="both"/>
        <w:rPr>
          <w:rFonts w:ascii="Roboto" w:hAnsi="Roboto" w:cs="Calibri"/>
          <w:sz w:val="20"/>
          <w:szCs w:val="20"/>
        </w:rPr>
      </w:pPr>
      <w:r>
        <w:rPr>
          <w:rFonts w:ascii="Roboto" w:hAnsi="Roboto" w:cs="Calibri"/>
          <w:sz w:val="20"/>
          <w:szCs w:val="20"/>
        </w:rPr>
        <w:t>A conferma delle molteplici modalit</w:t>
      </w:r>
      <w:r>
        <w:rPr>
          <w:rFonts w:ascii="Roboto" w:hAnsi="Roboto" w:cs="Calibri"/>
          <w:sz w:val="20"/>
          <w:szCs w:val="20"/>
        </w:rPr>
        <w:t>à di corruzione, vi è il dato relativo alle utilità non rientranti nelle summenzionate fattispecie, più di un quinto del totale (21%). Oltre a ricorrenti benefit di diversa natura (benzina, pasti, pernotti) non mancano singolari ricompense di varia tipolo</w:t>
      </w:r>
      <w:r>
        <w:rPr>
          <w:rFonts w:ascii="Roboto" w:hAnsi="Roboto" w:cs="Calibri"/>
          <w:sz w:val="20"/>
          <w:szCs w:val="20"/>
        </w:rPr>
        <w:t>gia (ristrutturazioni edilizie, riparazioni, servizi di pulizia, trasporto mobili, lavori di falegnameria, giardinaggio, tinteggiatura) comprese talvolta le prestazioni sessuali. Tutte contropartite di modesto controvalore indicative della facilità con cu</w:t>
      </w:r>
      <w:r>
        <w:rPr>
          <w:rFonts w:ascii="Roboto" w:hAnsi="Roboto" w:cs="Calibri"/>
          <w:sz w:val="20"/>
          <w:szCs w:val="20"/>
        </w:rPr>
        <w:t>i viene talora svenduta la funzione pubblica ricoperta.</w:t>
      </w:r>
    </w:p>
    <w:p w14:paraId="24F4D39C" w14:textId="77777777" w:rsidR="003A719B" w:rsidRDefault="00DF4CA4">
      <w:pPr>
        <w:jc w:val="both"/>
        <w:rPr>
          <w:rFonts w:ascii="Roboto" w:hAnsi="Roboto" w:cs="Calibri"/>
          <w:sz w:val="20"/>
          <w:szCs w:val="20"/>
        </w:rPr>
      </w:pPr>
      <w:r>
        <w:rPr>
          <w:rFonts w:ascii="Roboto" w:hAnsi="Roboto" w:cs="Calibri"/>
          <w:sz w:val="20"/>
          <w:szCs w:val="20"/>
        </w:rPr>
        <w:t>Il quadro complessivo che emerge dal rapporto testimonia che la corruzione, benché all’apparenza scomparsa dal dibattito pubblico, rappresenta un fenomeno radicato e persistente, verso il quale tenere</w:t>
      </w:r>
      <w:r>
        <w:rPr>
          <w:rFonts w:ascii="Roboto" w:hAnsi="Roboto" w:cs="Calibri"/>
          <w:sz w:val="20"/>
          <w:szCs w:val="20"/>
        </w:rPr>
        <w:t xml:space="preserve"> costantemente alta l’attenzione.</w:t>
      </w:r>
    </w:p>
    <w:p w14:paraId="5F66E0C3" w14:textId="77777777" w:rsidR="003A719B" w:rsidRDefault="00DF4CA4">
      <w:pPr>
        <w:jc w:val="both"/>
        <w:rPr>
          <w:rFonts w:ascii="Roboto" w:hAnsi="Roboto" w:cs="Calibri"/>
          <w:sz w:val="20"/>
          <w:szCs w:val="20"/>
        </w:rPr>
      </w:pPr>
      <w:r>
        <w:rPr>
          <w:rFonts w:ascii="Roboto" w:hAnsi="Roboto" w:cs="Calibri"/>
          <w:sz w:val="20"/>
          <w:szCs w:val="20"/>
        </w:rPr>
        <w:t>(..) A partire dall’approvazione della legge Severino (2012), gli interventi in materia sono stati numerosi e proficui. I vari istituti introdotti nell’ordinamento, il progressivo inasprimento delle pene e, da ultimo, la p</w:t>
      </w:r>
      <w:r>
        <w:rPr>
          <w:rFonts w:ascii="Roboto" w:hAnsi="Roboto" w:cs="Calibri"/>
          <w:sz w:val="20"/>
          <w:szCs w:val="20"/>
        </w:rPr>
        <w:t>ossibilità di estendere le operazioni sotto copertura anche ai delitti contro la Pubblica amministrazione saranno di certo utili nel contrasto.</w:t>
      </w:r>
    </w:p>
    <w:p w14:paraId="08C9718F" w14:textId="77777777" w:rsidR="003A719B" w:rsidRDefault="00DF4CA4">
      <w:pPr>
        <w:jc w:val="both"/>
        <w:rPr>
          <w:rFonts w:ascii="Roboto" w:hAnsi="Roboto" w:cs="Calibri"/>
          <w:sz w:val="20"/>
          <w:szCs w:val="20"/>
        </w:rPr>
      </w:pPr>
      <w:r>
        <w:rPr>
          <w:rFonts w:ascii="Roboto" w:hAnsi="Roboto" w:cs="Calibri"/>
          <w:sz w:val="20"/>
          <w:szCs w:val="20"/>
        </w:rPr>
        <w:t>La varietà delle forme di corruzione e dei settori di potenziale interesse impone di ricorrere a un’azione combi</w:t>
      </w:r>
      <w:r>
        <w:rPr>
          <w:rFonts w:ascii="Roboto" w:hAnsi="Roboto" w:cs="Calibri"/>
          <w:sz w:val="20"/>
          <w:szCs w:val="20"/>
        </w:rPr>
        <w:t>nata di strumenti preventivi e repressivi, che possano operare secondo comuni linee di coordinamento ed integrazione.</w:t>
      </w:r>
    </w:p>
    <w:p w14:paraId="331630D3" w14:textId="77777777" w:rsidR="003A719B" w:rsidRDefault="00DF4CA4">
      <w:pPr>
        <w:jc w:val="both"/>
        <w:rPr>
          <w:rFonts w:ascii="Roboto" w:hAnsi="Roboto" w:cs="Calibri"/>
          <w:sz w:val="20"/>
          <w:szCs w:val="20"/>
        </w:rPr>
      </w:pPr>
      <w:r>
        <w:rPr>
          <w:rFonts w:ascii="Roboto" w:hAnsi="Roboto" w:cs="Calibri"/>
          <w:sz w:val="20"/>
          <w:szCs w:val="20"/>
        </w:rPr>
        <w:t xml:space="preserve">Sotto questo aspetto, occorre rilevare che l’Italia non è affatto all’“anno zero”; al contrario, come testimoniano plurimi </w:t>
      </w:r>
      <w:r>
        <w:rPr>
          <w:rFonts w:ascii="Roboto" w:hAnsi="Roboto" w:cs="Calibri"/>
          <w:sz w:val="20"/>
          <w:szCs w:val="20"/>
        </w:rPr>
        <w:t xml:space="preserve">segnali, negli ultimi anni i progressi sono stati molteplici. I riconoscimenti ricevuti dall’Italia in tema di prevenzione della corruzione, numerosi e per nulla scontati, sono stati rilasciati dai più autorevoli organismi internazionali: Onu, Commissione </w:t>
      </w:r>
      <w:r>
        <w:rPr>
          <w:rFonts w:ascii="Roboto" w:hAnsi="Roboto" w:cs="Calibri"/>
          <w:sz w:val="20"/>
          <w:szCs w:val="20"/>
        </w:rPr>
        <w:t xml:space="preserve">europea, Ocse Consiglio d’Europa, Ocse, solo per citare i principali. </w:t>
      </w:r>
    </w:p>
    <w:p w14:paraId="755BD921" w14:textId="77777777" w:rsidR="003A719B" w:rsidRDefault="003A719B">
      <w:pPr>
        <w:jc w:val="both"/>
        <w:rPr>
          <w:rFonts w:ascii="Roboto" w:hAnsi="Roboto" w:cs="Calibri"/>
          <w:sz w:val="20"/>
          <w:szCs w:val="20"/>
        </w:rPr>
      </w:pPr>
    </w:p>
    <w:p w14:paraId="5FA5B5F5" w14:textId="77777777" w:rsidR="003A719B" w:rsidRDefault="003A719B">
      <w:pPr>
        <w:jc w:val="both"/>
        <w:rPr>
          <w:rFonts w:ascii="Roboto" w:hAnsi="Roboto" w:cs="Calibri"/>
          <w:sz w:val="20"/>
          <w:szCs w:val="20"/>
        </w:rPr>
      </w:pPr>
    </w:p>
    <w:p w14:paraId="7342524A" w14:textId="77777777" w:rsidR="003A719B" w:rsidRDefault="003A719B">
      <w:pPr>
        <w:jc w:val="both"/>
        <w:rPr>
          <w:rFonts w:ascii="Roboto" w:hAnsi="Roboto" w:cs="Calibri"/>
          <w:sz w:val="20"/>
          <w:szCs w:val="20"/>
        </w:rPr>
      </w:pPr>
    </w:p>
    <w:p w14:paraId="525BDC5D" w14:textId="77777777" w:rsidR="003A719B" w:rsidRDefault="003A719B">
      <w:pPr>
        <w:jc w:val="both"/>
        <w:rPr>
          <w:rFonts w:ascii="Roboto" w:hAnsi="Roboto" w:cs="Calibri"/>
          <w:sz w:val="20"/>
          <w:szCs w:val="20"/>
        </w:rPr>
      </w:pPr>
    </w:p>
    <w:p w14:paraId="2921C2D0" w14:textId="77777777" w:rsidR="003A719B" w:rsidRDefault="00DF4CA4">
      <w:pPr>
        <w:jc w:val="both"/>
        <w:rPr>
          <w:rFonts w:ascii="Roboto" w:hAnsi="Roboto" w:cs="Calibri"/>
          <w:sz w:val="20"/>
          <w:szCs w:val="20"/>
        </w:rPr>
      </w:pPr>
      <w:r>
        <w:rPr>
          <w:rFonts w:ascii="Roboto" w:hAnsi="Roboto" w:cs="Calibri"/>
          <w:sz w:val="20"/>
          <w:szCs w:val="20"/>
        </w:rPr>
        <w:t>Di ciò pare consapevole la stessa opinione pubblica, che difatti percepisce l’Italia un Paese meno corrotto del passato, come mostra il miglioramento nelle classifiche di settore (1</w:t>
      </w:r>
      <w:r>
        <w:rPr>
          <w:rFonts w:ascii="Roboto" w:hAnsi="Roboto" w:cs="Calibri"/>
          <w:sz w:val="20"/>
          <w:szCs w:val="20"/>
        </w:rPr>
        <w:t>9 posizioni guadagnate dal 2012). Il cambiamento in atto, peraltro, è anche di tipo culturale.</w:t>
      </w:r>
    </w:p>
    <w:p w14:paraId="0F3B760A" w14:textId="77777777" w:rsidR="003A719B" w:rsidRDefault="00DF4CA4">
      <w:pPr>
        <w:jc w:val="both"/>
        <w:rPr>
          <w:rFonts w:ascii="Roboto" w:hAnsi="Roboto" w:cs="Calibri"/>
          <w:sz w:val="20"/>
          <w:szCs w:val="20"/>
        </w:rPr>
      </w:pPr>
      <w:r>
        <w:rPr>
          <w:rFonts w:ascii="Roboto" w:hAnsi="Roboto" w:cs="Calibri"/>
          <w:sz w:val="20"/>
          <w:szCs w:val="20"/>
        </w:rPr>
        <w:t>Si può quindi affermare, nel complesso, che le condizioni del contesto esterno, individuabile nell’intero territorio provinciale, non siano critiche e che il gra</w:t>
      </w:r>
      <w:r>
        <w:rPr>
          <w:rFonts w:ascii="Roboto" w:hAnsi="Roboto" w:cs="Calibri"/>
          <w:sz w:val="20"/>
          <w:szCs w:val="20"/>
        </w:rPr>
        <w:t>do di integrità morale del contesto ambientale circostante sia tutto sommato buono.</w:t>
      </w:r>
    </w:p>
    <w:p w14:paraId="772C1441" w14:textId="77777777" w:rsidR="003A719B" w:rsidRDefault="003A719B">
      <w:pPr>
        <w:ind w:firstLine="708"/>
        <w:jc w:val="both"/>
        <w:rPr>
          <w:rFonts w:ascii="Roboto" w:hAnsi="Roboto" w:cs="Calibri"/>
          <w:sz w:val="20"/>
          <w:szCs w:val="20"/>
        </w:rPr>
      </w:pPr>
    </w:p>
    <w:p w14:paraId="7111EB69" w14:textId="77777777" w:rsidR="003A719B" w:rsidRDefault="00DF4CA4">
      <w:pPr>
        <w:pStyle w:val="Paragrafoelenco"/>
        <w:widowControl/>
        <w:numPr>
          <w:ilvl w:val="0"/>
          <w:numId w:val="16"/>
        </w:numPr>
        <w:suppressAutoHyphens w:val="0"/>
        <w:jc w:val="both"/>
        <w:textAlignment w:val="auto"/>
        <w:rPr>
          <w:rFonts w:ascii="Roboto" w:hAnsi="Roboto" w:cs="Calibri"/>
          <w:sz w:val="20"/>
          <w:szCs w:val="20"/>
          <w:u w:val="single"/>
        </w:rPr>
      </w:pPr>
      <w:r>
        <w:rPr>
          <w:rFonts w:ascii="Roboto" w:hAnsi="Roboto" w:cs="Calibri"/>
          <w:sz w:val="20"/>
          <w:szCs w:val="20"/>
          <w:u w:val="single"/>
        </w:rPr>
        <w:t>Relazioni di inaugurazione dell’anno giudiziario</w:t>
      </w:r>
    </w:p>
    <w:p w14:paraId="57810744" w14:textId="77777777" w:rsidR="003A719B" w:rsidRDefault="00DF4CA4">
      <w:pPr>
        <w:jc w:val="both"/>
        <w:rPr>
          <w:rFonts w:ascii="Roboto" w:hAnsi="Roboto" w:cs="Calibri"/>
          <w:sz w:val="20"/>
          <w:szCs w:val="20"/>
        </w:rPr>
      </w:pPr>
      <w:r>
        <w:rPr>
          <w:rFonts w:ascii="Roboto" w:hAnsi="Roboto" w:cs="Calibri"/>
          <w:sz w:val="20"/>
          <w:szCs w:val="20"/>
        </w:rPr>
        <w:t>Per farsi un’idea più completa e precisa del contesto esterno, si sono esaminate le Relazioni di inaugurazione dell’anno g</w:t>
      </w:r>
      <w:r>
        <w:rPr>
          <w:rFonts w:ascii="Roboto" w:hAnsi="Roboto" w:cs="Calibri"/>
          <w:sz w:val="20"/>
          <w:szCs w:val="20"/>
        </w:rPr>
        <w:t>iudiziario 2020, riferita all’attività 2019, e dell’anno giudiziario 2021, riferita all’anno 2020, della Sezione giurisdizionale della Corte dei Conti di Trento, nonché del Procuratore generale della medesima Corte. Si sono inoltre esaminate le Relazioni d</w:t>
      </w:r>
      <w:r>
        <w:rPr>
          <w:rFonts w:ascii="Roboto" w:hAnsi="Roboto" w:cs="Calibri"/>
          <w:sz w:val="20"/>
          <w:szCs w:val="20"/>
        </w:rPr>
        <w:t xml:space="preserve">i inaugurazione dell’anno giudiziario 2021, riferita all’anno 2020, del Presidente del Tribunale Amministrativo Regionale di Trento e del Presidente della Corte d’appello di Trento. </w:t>
      </w:r>
    </w:p>
    <w:p w14:paraId="0C0099BE" w14:textId="77777777" w:rsidR="003A719B" w:rsidRDefault="00DF4CA4">
      <w:pPr>
        <w:jc w:val="both"/>
      </w:pPr>
      <w:r>
        <w:rPr>
          <w:rFonts w:ascii="Roboto" w:hAnsi="Roboto" w:cs="Calibri"/>
          <w:sz w:val="20"/>
          <w:szCs w:val="20"/>
        </w:rPr>
        <w:t xml:space="preserve">In esito a tale esame, si ritengono condivisibili le conclusioni tratte, </w:t>
      </w:r>
      <w:r>
        <w:rPr>
          <w:rFonts w:ascii="Roboto" w:hAnsi="Roboto" w:cs="Calibri"/>
          <w:sz w:val="20"/>
          <w:szCs w:val="20"/>
        </w:rPr>
        <w:t>in particolare, dalla relazione del Presidente della Sezione giurisdizionale della Corte dei Conti dell’anno 2020, che qui si riprendono: “</w:t>
      </w:r>
      <w:r>
        <w:rPr>
          <w:rFonts w:ascii="Roboto" w:hAnsi="Roboto" w:cs="Calibri"/>
          <w:i/>
          <w:iCs/>
          <w:sz w:val="20"/>
          <w:szCs w:val="20"/>
        </w:rPr>
        <w:t xml:space="preserve">il sostrato amministrativo della Provincia di Trento resta sostanzialmente sano ed i fenomeni di mala gestio restano </w:t>
      </w:r>
      <w:r>
        <w:rPr>
          <w:rFonts w:ascii="Roboto" w:hAnsi="Roboto" w:cs="Calibri"/>
          <w:i/>
          <w:iCs/>
          <w:sz w:val="20"/>
          <w:szCs w:val="20"/>
        </w:rPr>
        <w:t>relegati nella loro episodicità ma, soprattutto, non assurgono mai a prodotto esponenziale di diffuse illegalità e di una cultura del saccheggio della Pubblica Amministrazione che, purtroppo caratterizza altre realtà</w:t>
      </w:r>
      <w:r>
        <w:rPr>
          <w:rFonts w:ascii="Roboto" w:hAnsi="Roboto" w:cs="Calibri"/>
          <w:sz w:val="20"/>
          <w:szCs w:val="20"/>
        </w:rPr>
        <w:t xml:space="preserve">.” </w:t>
      </w:r>
    </w:p>
    <w:p w14:paraId="0E16BFEE" w14:textId="77777777" w:rsidR="003A719B" w:rsidRDefault="00DF4CA4">
      <w:pPr>
        <w:jc w:val="both"/>
      </w:pPr>
      <w:r>
        <w:rPr>
          <w:rFonts w:ascii="Roboto" w:hAnsi="Roboto" w:cs="Calibri"/>
          <w:sz w:val="20"/>
          <w:szCs w:val="20"/>
        </w:rPr>
        <w:t xml:space="preserve">Per quanto riguarda il 2021, sembra </w:t>
      </w:r>
      <w:r>
        <w:rPr>
          <w:rFonts w:ascii="Roboto" w:hAnsi="Roboto" w:cs="Calibri"/>
          <w:sz w:val="20"/>
          <w:szCs w:val="20"/>
        </w:rPr>
        <w:t>rilevante citare il seguente passo della Relazione del Presidente f.f. della Sezione giurisdizionale– Udienza d’inaugurazione dell’Anno Giudiziario 2021- ove si dice che: “</w:t>
      </w:r>
      <w:r>
        <w:rPr>
          <w:rFonts w:ascii="Roboto" w:hAnsi="Roboto" w:cs="Calibri"/>
          <w:i/>
          <w:iCs/>
          <w:sz w:val="20"/>
          <w:szCs w:val="20"/>
        </w:rPr>
        <w:t>Occorre precisare che nel 2020 si è mantenuto costante l’incremento del contenzioso</w:t>
      </w:r>
      <w:r>
        <w:rPr>
          <w:rFonts w:ascii="Roboto" w:hAnsi="Roboto" w:cs="Calibri"/>
          <w:i/>
          <w:iCs/>
          <w:sz w:val="20"/>
          <w:szCs w:val="20"/>
        </w:rPr>
        <w:t xml:space="preserve"> in materia di responsabilità amministrativa registrato nell’anno precedente, confermando una tendenza ormai invariata, con un consistente </w:t>
      </w:r>
      <w:r>
        <w:rPr>
          <w:rFonts w:ascii="Roboto" w:hAnsi="Roboto" w:cs="Calibri"/>
          <w:i/>
          <w:iCs/>
          <w:sz w:val="20"/>
          <w:szCs w:val="20"/>
        </w:rPr>
        <w:lastRenderedPageBreak/>
        <w:t>aumento dei danni contestati. Come lo scorso anno, occorre tuttavia precisare che il numero dei giudizi di responsabi</w:t>
      </w:r>
      <w:r>
        <w:rPr>
          <w:rFonts w:ascii="Roboto" w:hAnsi="Roboto" w:cs="Calibri"/>
          <w:i/>
          <w:iCs/>
          <w:sz w:val="20"/>
          <w:szCs w:val="20"/>
        </w:rPr>
        <w:t>lità trattati non è, di per sé, emblematico di alcun deterioramento nell’azione delle Amministrazioni che operano nell’ambito della Provincia Autonoma di Trento, ma solo effetto di un incremento dell’attività della Procura Regionale. Le importanti decisi</w:t>
      </w:r>
      <w:r>
        <w:rPr>
          <w:rFonts w:ascii="Roboto" w:hAnsi="Roboto" w:cs="Calibri"/>
          <w:i/>
          <w:iCs/>
          <w:sz w:val="20"/>
          <w:szCs w:val="20"/>
        </w:rPr>
        <w:t>oni adottate, nei vari ambiti della pubblica amministrazione, hanno impegnato il Collegio nell’esame di interessanti ed attuali questioni ed argomenti di spiccato interesse giuridico, tanto processuale quanto sostanziale”</w:t>
      </w:r>
      <w:r>
        <w:rPr>
          <w:rFonts w:ascii="Roboto" w:hAnsi="Roboto" w:cs="Calibri"/>
          <w:sz w:val="20"/>
          <w:szCs w:val="20"/>
        </w:rPr>
        <w:t>.</w:t>
      </w:r>
    </w:p>
    <w:p w14:paraId="19CDBFE4" w14:textId="77777777" w:rsidR="003A719B" w:rsidRDefault="00DF4CA4">
      <w:pPr>
        <w:jc w:val="both"/>
      </w:pPr>
      <w:r>
        <w:rPr>
          <w:rFonts w:ascii="Roboto" w:hAnsi="Roboto" w:cs="Calibri"/>
          <w:sz w:val="20"/>
          <w:szCs w:val="20"/>
        </w:rPr>
        <w:t>A sua volta, il Procuratore regio</w:t>
      </w:r>
      <w:r>
        <w:rPr>
          <w:rFonts w:ascii="Roboto" w:hAnsi="Roboto" w:cs="Calibri"/>
          <w:sz w:val="20"/>
          <w:szCs w:val="20"/>
        </w:rPr>
        <w:t>nale della Corte dei Conti, nella relazione d’inaugurazione dell’anno giudiziario 2021, pur parlando di “</w:t>
      </w:r>
      <w:r>
        <w:rPr>
          <w:rFonts w:ascii="Roboto" w:hAnsi="Roboto" w:cs="Calibri"/>
          <w:i/>
          <w:iCs/>
          <w:sz w:val="20"/>
          <w:szCs w:val="20"/>
        </w:rPr>
        <w:t>un contesto territoriale trentino caratterizzato, in radice, da princìpi di onestà ed efficacia</w:t>
      </w:r>
      <w:r>
        <w:rPr>
          <w:rFonts w:ascii="Roboto" w:hAnsi="Roboto" w:cs="Calibri"/>
          <w:sz w:val="20"/>
          <w:szCs w:val="20"/>
        </w:rPr>
        <w:t>”, ha evidenziato delle criticità in materia di incari</w:t>
      </w:r>
      <w:r>
        <w:rPr>
          <w:rFonts w:ascii="Roboto" w:hAnsi="Roboto" w:cs="Calibri"/>
          <w:sz w:val="20"/>
          <w:szCs w:val="20"/>
        </w:rPr>
        <w:t xml:space="preserve">chi esterni e di violazione delle regole di evidenza pubblica, materie queste cui il Procuratore ha dedicato la propria attenzione sottolineandone le criticità con espressioni che non possono lasciare indifferenti, evidenziando anche il danno all’immagine </w:t>
      </w:r>
      <w:r>
        <w:rPr>
          <w:rFonts w:ascii="Roboto" w:hAnsi="Roboto" w:cs="Calibri"/>
          <w:sz w:val="20"/>
          <w:szCs w:val="20"/>
        </w:rPr>
        <w:t>che l’infedele prestazione del servizio arreca alla Pubblica amministrazione.</w:t>
      </w:r>
    </w:p>
    <w:p w14:paraId="05474AAC" w14:textId="77777777" w:rsidR="003A719B" w:rsidRDefault="00DF4CA4">
      <w:pPr>
        <w:jc w:val="both"/>
      </w:pPr>
      <w:r>
        <w:rPr>
          <w:rFonts w:ascii="Roboto" w:hAnsi="Roboto" w:cs="Calibri"/>
          <w:sz w:val="20"/>
          <w:szCs w:val="20"/>
        </w:rPr>
        <w:t xml:space="preserve"> Il Procuratore ha parlato di dispregio del pubblico decoro, di risorse distribuite in base al puro e semplice arbitrio, talvolta in un contesto di personale prepotenza, della co</w:t>
      </w:r>
      <w:r>
        <w:rPr>
          <w:rFonts w:ascii="Roboto" w:hAnsi="Roboto" w:cs="Calibri"/>
          <w:sz w:val="20"/>
          <w:szCs w:val="20"/>
        </w:rPr>
        <w:t>nseguente necessità di sanzionare odiosi favoritismi effettuati non di rado a vantaggio di parenti, amici e sodali. Nel settore contrattuale ha sottolineato che “</w:t>
      </w:r>
      <w:r>
        <w:rPr>
          <w:rFonts w:ascii="Roboto" w:hAnsi="Roboto" w:cs="Calibri"/>
          <w:i/>
          <w:iCs/>
          <w:sz w:val="20"/>
          <w:szCs w:val="20"/>
        </w:rPr>
        <w:t xml:space="preserve">continuano purtroppo a registrarsi casi in cui vari soggetti (Amministratori locali, ma anche </w:t>
      </w:r>
      <w:r>
        <w:rPr>
          <w:rFonts w:ascii="Roboto" w:hAnsi="Roboto" w:cs="Calibri"/>
          <w:i/>
          <w:iCs/>
          <w:sz w:val="20"/>
          <w:szCs w:val="20"/>
        </w:rPr>
        <w:t>soggetti in rapporto di convenzione con la P.A.T., in particolare nel settore della pubblica istruzione), in dispregio al pubblico decoro prima ancora che a elementari princìpi ordinamentali legati all’incompatibilità e al conflitto di interessi, hanno p</w:t>
      </w:r>
      <w:r>
        <w:rPr>
          <w:rFonts w:ascii="Roboto" w:hAnsi="Roboto" w:cs="Calibri"/>
          <w:i/>
          <w:iCs/>
          <w:sz w:val="20"/>
          <w:szCs w:val="20"/>
        </w:rPr>
        <w:t>roceduto a diretti affidamenti contrattuali a sé stessi o a propri congiunti</w:t>
      </w:r>
      <w:r>
        <w:rPr>
          <w:rFonts w:ascii="Roboto" w:hAnsi="Roboto" w:cs="Calibri"/>
          <w:sz w:val="20"/>
          <w:szCs w:val="20"/>
        </w:rPr>
        <w:t>”.</w:t>
      </w:r>
    </w:p>
    <w:p w14:paraId="1B086ED8" w14:textId="77777777" w:rsidR="003A719B" w:rsidRDefault="00DF4CA4">
      <w:pPr>
        <w:jc w:val="both"/>
      </w:pPr>
      <w:r>
        <w:rPr>
          <w:rFonts w:ascii="Roboto" w:hAnsi="Roboto" w:cs="Calibri"/>
          <w:sz w:val="20"/>
          <w:szCs w:val="20"/>
        </w:rPr>
        <w:t>Sul tema degli affidamenti, precisa il Procuratore, che si “</w:t>
      </w:r>
      <w:r>
        <w:rPr>
          <w:rFonts w:ascii="Roboto" w:hAnsi="Roboto" w:cs="Calibri"/>
          <w:i/>
          <w:iCs/>
          <w:sz w:val="20"/>
          <w:szCs w:val="20"/>
        </w:rPr>
        <w:t>intende proseguire nella verifica degli affidamenti contrattuali diretti in linea con la specifica esigenza di tutel</w:t>
      </w:r>
      <w:r>
        <w:rPr>
          <w:rFonts w:ascii="Roboto" w:hAnsi="Roboto" w:cs="Calibri"/>
          <w:i/>
          <w:iCs/>
          <w:sz w:val="20"/>
          <w:szCs w:val="20"/>
        </w:rPr>
        <w:t>are le finanze pubbliche, nel rispetto dell’oculatezza della spesa e di sanzionare odiosi favoritismi, non di rado a vantaggio di parenti, amici e sodali dei vertici della medesima Amministrazione interessata. La scrupolosa osservanza delle regole del codi</w:t>
      </w:r>
      <w:r>
        <w:rPr>
          <w:rFonts w:ascii="Roboto" w:hAnsi="Roboto" w:cs="Calibri"/>
          <w:i/>
          <w:iCs/>
          <w:sz w:val="20"/>
          <w:szCs w:val="20"/>
        </w:rPr>
        <w:t>ce dei contratti pubblici e delle procedure di evidenza pubblica non solo implica la protezione delle risorse del Pubblico Erario, ma la difesa di tutti i cittadini (in particolare, in questo contesto, di Aziende che vengono illegittimamente estromesse dal</w:t>
      </w:r>
      <w:r>
        <w:rPr>
          <w:rFonts w:ascii="Roboto" w:hAnsi="Roboto" w:cs="Calibri"/>
          <w:i/>
          <w:iCs/>
          <w:sz w:val="20"/>
          <w:szCs w:val="20"/>
        </w:rPr>
        <w:t xml:space="preserve"> confronto concorrenziale per effetto di condotte colpevoli di funzionari e Amministratori). A ben vedere, la difesa dei princìpi della concorrenza in materia di contrattualistica pubblica corrisponde (oltre che a fondamentali canoni) a precisi termini et</w:t>
      </w:r>
      <w:r>
        <w:rPr>
          <w:rFonts w:ascii="Roboto" w:hAnsi="Roboto" w:cs="Calibri"/>
          <w:i/>
          <w:iCs/>
          <w:sz w:val="20"/>
          <w:szCs w:val="20"/>
        </w:rPr>
        <w:t>ici: tutti devono essere posti in grado di lavorare e produrre, non soltanto coloro che possono godere di illegittimi favoritismi”.</w:t>
      </w:r>
    </w:p>
    <w:p w14:paraId="2D911D73" w14:textId="77777777" w:rsidR="003A719B" w:rsidRDefault="00DF4CA4">
      <w:pPr>
        <w:rPr>
          <w:rFonts w:ascii="Roboto" w:hAnsi="Roboto" w:cs="Calibri"/>
          <w:sz w:val="20"/>
          <w:szCs w:val="20"/>
        </w:rPr>
      </w:pPr>
      <w:r>
        <w:rPr>
          <w:rFonts w:ascii="Roboto" w:hAnsi="Roboto" w:cs="Calibri"/>
          <w:sz w:val="20"/>
          <w:szCs w:val="20"/>
        </w:rPr>
        <w:t>I testi integrali degli interventi sono pubblicati al seguente link:</w:t>
      </w:r>
    </w:p>
    <w:p w14:paraId="33239B78" w14:textId="77777777" w:rsidR="003A719B" w:rsidRDefault="00DF4CA4">
      <w:hyperlink r:id="rId45" w:history="1">
        <w:r>
          <w:rPr>
            <w:rStyle w:val="Collegamentoipertestuale"/>
            <w:rFonts w:ascii="Roboto" w:hAnsi="Roboto" w:cs="Calibri"/>
            <w:sz w:val="20"/>
            <w:szCs w:val="20"/>
          </w:rPr>
          <w:t>https://www.corteconti.it/HOME/Documenti/DettaglioDocumenti?Id=38472062-f296-474b-b88b-e08d51948cdd</w:t>
        </w:r>
      </w:hyperlink>
    </w:p>
    <w:p w14:paraId="78102A80" w14:textId="77777777" w:rsidR="003A719B" w:rsidRDefault="00DF4CA4">
      <w:r>
        <w:rPr>
          <w:rStyle w:val="Collegamentoipertestuale"/>
          <w:rFonts w:ascii="Roboto" w:hAnsi="Roboto" w:cs="Calibri"/>
          <w:sz w:val="20"/>
          <w:szCs w:val="20"/>
        </w:rPr>
        <w:t>https://www.corteconti.it/HOME/Documenti/DettaglioDocumenti?Id=dbe3066c-699f-491b-9e15-2df7bd6</w:t>
      </w:r>
      <w:r>
        <w:rPr>
          <w:rStyle w:val="Collegamentoipertestuale"/>
          <w:rFonts w:ascii="Roboto" w:hAnsi="Roboto" w:cs="Calibri"/>
          <w:sz w:val="20"/>
          <w:szCs w:val="20"/>
        </w:rPr>
        <w:t>13c73</w:t>
      </w:r>
    </w:p>
    <w:p w14:paraId="1F3B5D86" w14:textId="77777777" w:rsidR="003A719B" w:rsidRDefault="003A719B">
      <w:pPr>
        <w:jc w:val="both"/>
        <w:rPr>
          <w:rFonts w:ascii="Roboto" w:hAnsi="Roboto" w:cs="Calibri"/>
          <w:sz w:val="20"/>
          <w:szCs w:val="20"/>
        </w:rPr>
      </w:pPr>
    </w:p>
    <w:p w14:paraId="437F9C3F" w14:textId="77777777" w:rsidR="003A719B" w:rsidRDefault="00DF4CA4">
      <w:pPr>
        <w:pStyle w:val="Paragrafoelenco"/>
        <w:widowControl/>
        <w:numPr>
          <w:ilvl w:val="0"/>
          <w:numId w:val="16"/>
        </w:numPr>
        <w:suppressAutoHyphens w:val="0"/>
        <w:jc w:val="both"/>
        <w:textAlignment w:val="auto"/>
        <w:rPr>
          <w:rFonts w:ascii="Roboto" w:hAnsi="Roboto" w:cs="Calibri"/>
          <w:sz w:val="20"/>
          <w:szCs w:val="20"/>
          <w:u w:val="single"/>
        </w:rPr>
      </w:pPr>
      <w:r>
        <w:rPr>
          <w:rFonts w:ascii="Roboto" w:hAnsi="Roboto" w:cs="Calibri"/>
          <w:sz w:val="20"/>
          <w:szCs w:val="20"/>
          <w:u w:val="single"/>
        </w:rPr>
        <w:t>Consultazione stampa locale</w:t>
      </w:r>
    </w:p>
    <w:p w14:paraId="1199EA11" w14:textId="77777777" w:rsidR="003A719B" w:rsidRDefault="00DF4CA4">
      <w:pPr>
        <w:jc w:val="both"/>
      </w:pPr>
      <w:r>
        <w:rPr>
          <w:rFonts w:ascii="Roboto" w:hAnsi="Roboto" w:cs="Calibri"/>
          <w:sz w:val="20"/>
          <w:szCs w:val="20"/>
        </w:rPr>
        <w:t>Nell’analisi del contesto esterno appare rilevante anche l’analisi della rassegna stampa dei quotidiani locali in ordine a episodi di “</w:t>
      </w:r>
      <w:r>
        <w:rPr>
          <w:rFonts w:ascii="Roboto" w:hAnsi="Roboto" w:cs="Calibri"/>
          <w:i/>
          <w:iCs/>
          <w:sz w:val="20"/>
          <w:szCs w:val="20"/>
        </w:rPr>
        <w:t>malamministrazione</w:t>
      </w:r>
      <w:r>
        <w:rPr>
          <w:rFonts w:ascii="Roboto" w:hAnsi="Roboto" w:cs="Calibri"/>
          <w:sz w:val="20"/>
          <w:szCs w:val="20"/>
        </w:rPr>
        <w:t xml:space="preserve">” o ancor più di comportamenti penalmente rilevanti che </w:t>
      </w:r>
      <w:r>
        <w:rPr>
          <w:rFonts w:ascii="Roboto" w:hAnsi="Roboto" w:cs="Calibri"/>
          <w:sz w:val="20"/>
          <w:szCs w:val="20"/>
        </w:rPr>
        <w:t>possano interferire con lo svolgimento della funzione pubblica nel territorio provinciale. In continuità con le osservazioni emerse dalla lettura delle relazione di apertura dell’anno giudiziario 2020, infatti, numerosi sono stati nel corso del 2020 gli ar</w:t>
      </w:r>
      <w:r>
        <w:rPr>
          <w:rFonts w:ascii="Roboto" w:hAnsi="Roboto" w:cs="Calibri"/>
          <w:sz w:val="20"/>
          <w:szCs w:val="20"/>
        </w:rPr>
        <w:t xml:space="preserve">ticoli che hanno riportato eventi corruttivi e di infiltrazione delle organizzazioni collegati all'indagine svolta dai Carabinieri del ROS nella Valle di Cembra in relazione all’attività estrattiva del porfido, che ha portato all’arresto di amministratori </w:t>
      </w:r>
      <w:r>
        <w:rPr>
          <w:rFonts w:ascii="Roboto" w:hAnsi="Roboto" w:cs="Calibri"/>
          <w:sz w:val="20"/>
          <w:szCs w:val="20"/>
        </w:rPr>
        <w:t xml:space="preserve">comunali e imprenditori, per numerosi reati tra i quali quelli di associazione mafiosa, scambio elettorale politico mafioso, estorsione, tentata estorsione. </w:t>
      </w:r>
    </w:p>
    <w:p w14:paraId="58B54519" w14:textId="77777777" w:rsidR="003A719B" w:rsidRDefault="00DF4CA4">
      <w:pPr>
        <w:jc w:val="both"/>
        <w:rPr>
          <w:rFonts w:ascii="Roboto" w:hAnsi="Roboto" w:cs="Calibri"/>
          <w:sz w:val="20"/>
          <w:szCs w:val="20"/>
        </w:rPr>
      </w:pPr>
      <w:r>
        <w:rPr>
          <w:rFonts w:ascii="Roboto" w:hAnsi="Roboto" w:cs="Calibri"/>
          <w:sz w:val="20"/>
          <w:szCs w:val="20"/>
        </w:rPr>
        <w:t>Dal mese di ottobre a dicembre 2020, si sono susseguiti nelle principali testate trentine (L’Adige</w:t>
      </w:r>
      <w:r>
        <w:rPr>
          <w:rFonts w:ascii="Roboto" w:hAnsi="Roboto" w:cs="Calibri"/>
          <w:sz w:val="20"/>
          <w:szCs w:val="20"/>
        </w:rPr>
        <w:t>, Il Trentino, Il Corriere del Trentino) numerosi interventi che hanno evidenziato da un lato il radicamento della criminalità organizzata facente riferimento alla “’ndrangheta” nell’ambito di un settore economico, quello delle cave, da sempre connotato da</w:t>
      </w:r>
      <w:r>
        <w:rPr>
          <w:rFonts w:ascii="Roboto" w:hAnsi="Roboto" w:cs="Calibri"/>
          <w:sz w:val="20"/>
          <w:szCs w:val="20"/>
        </w:rPr>
        <w:t xml:space="preserve"> elevata redditività, con un progressivo e graduale coinvolgimento nel tempo non solo della compagine imprenditoriale ma altresì di quella pubblica, avendo trovato substrato anche negli amministratori di alcuni comuni della Val di Cembra oltre che in refer</w:t>
      </w:r>
      <w:r>
        <w:rPr>
          <w:rFonts w:ascii="Roboto" w:hAnsi="Roboto" w:cs="Calibri"/>
          <w:sz w:val="20"/>
          <w:szCs w:val="20"/>
        </w:rPr>
        <w:t>enti nazionali. Così all’indomani degli arresti anche il Procuratore Capo di Trento, coordinatore degli interventi di Carabinieri del ROS e della Guardia di Finanzia, che attesta che la presenza della criminalità organizzata in Trentino è consolidata e coi</w:t>
      </w:r>
      <w:r>
        <w:rPr>
          <w:rFonts w:ascii="Roboto" w:hAnsi="Roboto" w:cs="Calibri"/>
          <w:sz w:val="20"/>
          <w:szCs w:val="20"/>
        </w:rPr>
        <w:t>nvolge settori di rilevanza economica come il porfido, come anche il settore del turismo.</w:t>
      </w:r>
    </w:p>
    <w:p w14:paraId="3D28AF64" w14:textId="77777777" w:rsidR="003A719B" w:rsidRDefault="00DF4CA4">
      <w:pPr>
        <w:jc w:val="both"/>
        <w:rPr>
          <w:rFonts w:ascii="Roboto" w:hAnsi="Roboto" w:cs="Calibri"/>
          <w:sz w:val="20"/>
          <w:szCs w:val="20"/>
        </w:rPr>
      </w:pPr>
      <w:r>
        <w:rPr>
          <w:rFonts w:ascii="Roboto" w:hAnsi="Roboto" w:cs="Calibri"/>
          <w:sz w:val="20"/>
          <w:szCs w:val="20"/>
        </w:rPr>
        <w:t>Ma non solo. L’intervento del Comandante regionale della Guardia di Finanza ha altresì evidenziato come l’emergenza COVID, e le correlate normative speciali, favorisc</w:t>
      </w:r>
      <w:r>
        <w:rPr>
          <w:rFonts w:ascii="Roboto" w:hAnsi="Roboto" w:cs="Calibri"/>
          <w:sz w:val="20"/>
          <w:szCs w:val="20"/>
        </w:rPr>
        <w:t>ano la criminalità organizzata consentendole di sviluppare i propri contatti e affari, come rilevato dalle numerose segnalazioni pervenute alla Cabina di regia istituita appunto presso la GdF, ove a fronte delle imprese in difficoltà per l’emergenza, a con</w:t>
      </w:r>
      <w:r>
        <w:rPr>
          <w:rFonts w:ascii="Roboto" w:hAnsi="Roboto" w:cs="Calibri"/>
          <w:sz w:val="20"/>
          <w:szCs w:val="20"/>
        </w:rPr>
        <w:t>trario le organizzazioni criminali dispongono di ingenti risorse tali da falsare l’economia, con necessità di massima vigilanza da parte delle forze dell’ordine.</w:t>
      </w:r>
    </w:p>
    <w:p w14:paraId="5CDD6AF7" w14:textId="77777777" w:rsidR="003A719B" w:rsidRDefault="00DF4CA4">
      <w:pPr>
        <w:jc w:val="both"/>
      </w:pPr>
      <w:r>
        <w:rPr>
          <w:rFonts w:ascii="Roboto" w:hAnsi="Roboto" w:cs="Calibri"/>
          <w:sz w:val="20"/>
          <w:szCs w:val="20"/>
        </w:rPr>
        <w:t>Sempre sulla costante attenzione della stampa a reati collegati con la “</w:t>
      </w:r>
      <w:r>
        <w:rPr>
          <w:rFonts w:ascii="Roboto" w:hAnsi="Roboto" w:cs="Calibri"/>
          <w:i/>
          <w:iCs/>
          <w:sz w:val="20"/>
          <w:szCs w:val="20"/>
        </w:rPr>
        <w:t>res publica</w:t>
      </w:r>
      <w:r>
        <w:rPr>
          <w:rFonts w:ascii="Roboto" w:hAnsi="Roboto" w:cs="Calibri"/>
          <w:sz w:val="20"/>
          <w:szCs w:val="20"/>
        </w:rPr>
        <w:t>” si richia</w:t>
      </w:r>
      <w:r>
        <w:rPr>
          <w:rFonts w:ascii="Roboto" w:hAnsi="Roboto" w:cs="Calibri"/>
          <w:sz w:val="20"/>
          <w:szCs w:val="20"/>
        </w:rPr>
        <w:t xml:space="preserve">mano le sentenze </w:t>
      </w:r>
      <w:r>
        <w:rPr>
          <w:rFonts w:ascii="Roboto" w:hAnsi="Roboto" w:cs="Calibri"/>
          <w:sz w:val="20"/>
          <w:szCs w:val="20"/>
        </w:rPr>
        <w:lastRenderedPageBreak/>
        <w:t>di appello sull’indagine “Trento Rise” in ordine a illegittimi affidamenti di consulenza da parte della società pubblica, con riconoscimento da parte della Sezione d’Appello della Corte dei Conti del danno erariale in capo ai vertici della</w:t>
      </w:r>
      <w:r>
        <w:rPr>
          <w:rFonts w:ascii="Roboto" w:hAnsi="Roboto" w:cs="Calibri"/>
          <w:sz w:val="20"/>
          <w:szCs w:val="20"/>
        </w:rPr>
        <w:t xml:space="preserve"> società.</w:t>
      </w:r>
    </w:p>
    <w:p w14:paraId="355D6531" w14:textId="77777777" w:rsidR="003A719B" w:rsidRDefault="00DF4CA4">
      <w:pPr>
        <w:pStyle w:val="Standard"/>
        <w:spacing w:before="40"/>
        <w:jc w:val="center"/>
        <w:textAlignment w:val="top"/>
      </w:pPr>
      <w:r>
        <w:rPr>
          <w:noProof/>
          <w:sz w:val="21"/>
          <w:szCs w:val="21"/>
          <w:lang w:eastAsia="it-IT" w:bidi="ar-SA"/>
        </w:rPr>
        <w:drawing>
          <wp:inline distT="0" distB="0" distL="0" distR="0" wp14:anchorId="1C709437" wp14:editId="25F2BF93">
            <wp:extent cx="3294363" cy="2463119"/>
            <wp:effectExtent l="0" t="0" r="1287" b="0"/>
            <wp:docPr id="3"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l="-2" t="-3" r="-2" b="-3"/>
                    <a:stretch>
                      <a:fillRect/>
                    </a:stretch>
                  </pic:blipFill>
                  <pic:spPr>
                    <a:xfrm>
                      <a:off x="0" y="0"/>
                      <a:ext cx="3294363" cy="2463119"/>
                    </a:xfrm>
                    <a:prstGeom prst="rect">
                      <a:avLst/>
                    </a:prstGeom>
                    <a:noFill/>
                    <a:ln>
                      <a:noFill/>
                      <a:prstDash/>
                    </a:ln>
                  </pic:spPr>
                </pic:pic>
              </a:graphicData>
            </a:graphic>
          </wp:inline>
        </w:drawing>
      </w:r>
    </w:p>
    <w:p w14:paraId="5AFFCC03" w14:textId="77777777" w:rsidR="003A719B" w:rsidRDefault="00DF4CA4">
      <w:pPr>
        <w:pStyle w:val="Standard"/>
        <w:spacing w:before="100"/>
        <w:jc w:val="both"/>
        <w:textAlignment w:val="top"/>
        <w:rPr>
          <w:rFonts w:ascii="Arial" w:hAnsi="Arial" w:cs="Arial"/>
          <w:sz w:val="21"/>
          <w:szCs w:val="21"/>
        </w:rPr>
      </w:pPr>
      <w:r>
        <w:rPr>
          <w:rFonts w:ascii="Arial" w:hAnsi="Arial" w:cs="Arial"/>
          <w:sz w:val="21"/>
          <w:szCs w:val="21"/>
        </w:rPr>
        <w:t xml:space="preserve">Nel processo di costruzione del presente Piano si è tenuto conto della suddetta analisi, ma anche delle risultanze dell’ordinaria vigilanza sui possibili fenomeni corruttivi. Nel corso dei monitoraggi sinora effettuati nell’Ente non sono </w:t>
      </w:r>
      <w:r>
        <w:rPr>
          <w:rFonts w:ascii="Arial" w:hAnsi="Arial" w:cs="Arial"/>
          <w:sz w:val="21"/>
          <w:szCs w:val="21"/>
        </w:rPr>
        <w:t>emerse irregolarità attinenti al fenomeno corruttivo e non sono state irrogate sanzioni. Si può quindi fondatamente ritenere che il contesto interno è sano e non genera particolari preoccupazioni</w:t>
      </w:r>
    </w:p>
    <w:p w14:paraId="2242664F" w14:textId="77777777" w:rsidR="003A719B" w:rsidRDefault="003A719B">
      <w:pPr>
        <w:pStyle w:val="Standard"/>
        <w:spacing w:before="100"/>
        <w:jc w:val="both"/>
        <w:textAlignment w:val="top"/>
        <w:rPr>
          <w:rFonts w:ascii="Arial" w:hAnsi="Arial" w:cs="Arial"/>
          <w:sz w:val="21"/>
          <w:szCs w:val="21"/>
        </w:rPr>
      </w:pPr>
    </w:p>
    <w:p w14:paraId="685BA8A8" w14:textId="77777777" w:rsidR="003A719B" w:rsidRDefault="00DF4CA4">
      <w:pPr>
        <w:pStyle w:val="Titolo2"/>
      </w:pPr>
      <w:bookmarkStart w:id="7" w:name="__RefHeading___Toc1944_761212699"/>
      <w:r>
        <w:rPr>
          <w:rFonts w:ascii="Arial" w:hAnsi="Arial" w:cs="Arial"/>
          <w:i w:val="0"/>
          <w:sz w:val="21"/>
          <w:szCs w:val="21"/>
          <w:u w:val="single"/>
        </w:rPr>
        <w:t>3.2 LA STRUTTURA ORGANIZZATIVA</w:t>
      </w:r>
      <w:bookmarkEnd w:id="7"/>
    </w:p>
    <w:p w14:paraId="1F622B92" w14:textId="77777777" w:rsidR="003A719B" w:rsidRDefault="00DF4CA4">
      <w:pPr>
        <w:pStyle w:val="Corpodeltesto2"/>
        <w:spacing w:before="100"/>
      </w:pPr>
      <w:r>
        <w:rPr>
          <w:rFonts w:ascii="Arial" w:hAnsi="Arial" w:cs="Arial"/>
          <w:sz w:val="21"/>
          <w:szCs w:val="21"/>
        </w:rPr>
        <w:t>L’attuale struttura organizz</w:t>
      </w:r>
      <w:r>
        <w:rPr>
          <w:rFonts w:ascii="Arial" w:hAnsi="Arial" w:cs="Arial"/>
          <w:sz w:val="21"/>
          <w:szCs w:val="21"/>
        </w:rPr>
        <w:t>ativa del Comune si articola in servizi e uffici quali unità operative costituite sulla base dell'omogeneità dei servizi erogati e dei processi gestiti o delle competenze.</w:t>
      </w:r>
    </w:p>
    <w:p w14:paraId="142E4128" w14:textId="77777777" w:rsidR="003A719B" w:rsidRDefault="00DF4CA4">
      <w:pPr>
        <w:pStyle w:val="Corpodeltesto2"/>
        <w:spacing w:before="100"/>
        <w:rPr>
          <w:rFonts w:ascii="Arial" w:hAnsi="Arial" w:cs="Arial"/>
          <w:sz w:val="21"/>
          <w:szCs w:val="21"/>
        </w:rPr>
      </w:pPr>
      <w:r>
        <w:rPr>
          <w:rFonts w:ascii="Arial" w:hAnsi="Arial" w:cs="Arial"/>
          <w:sz w:val="21"/>
          <w:szCs w:val="21"/>
        </w:rPr>
        <w:t>L’articolazione dei Servizi è così definita:</w:t>
      </w:r>
    </w:p>
    <w:p w14:paraId="4D864916" w14:textId="77777777" w:rsidR="003A719B" w:rsidRDefault="00DF4CA4">
      <w:pPr>
        <w:pStyle w:val="Corpodeltesto2"/>
        <w:spacing w:before="100"/>
        <w:rPr>
          <w:rFonts w:ascii="Arial" w:hAnsi="Arial" w:cs="Arial"/>
          <w:b/>
          <w:i/>
          <w:sz w:val="21"/>
          <w:szCs w:val="21"/>
        </w:rPr>
      </w:pPr>
      <w:r>
        <w:rPr>
          <w:rFonts w:ascii="Arial" w:hAnsi="Arial" w:cs="Arial"/>
          <w:b/>
          <w:i/>
          <w:sz w:val="21"/>
          <w:szCs w:val="21"/>
        </w:rPr>
        <w:t>Parte politica:</w:t>
      </w:r>
    </w:p>
    <w:p w14:paraId="33AEBB9E" w14:textId="77777777" w:rsidR="003A719B" w:rsidRDefault="00DF4CA4">
      <w:pPr>
        <w:pStyle w:val="Corpodeltesto2"/>
        <w:numPr>
          <w:ilvl w:val="0"/>
          <w:numId w:val="17"/>
        </w:numPr>
        <w:spacing w:before="120"/>
        <w:rPr>
          <w:rFonts w:ascii="Arial" w:hAnsi="Arial" w:cs="Arial"/>
          <w:sz w:val="21"/>
          <w:szCs w:val="21"/>
        </w:rPr>
      </w:pPr>
      <w:r>
        <w:rPr>
          <w:rFonts w:ascii="Arial" w:hAnsi="Arial" w:cs="Arial"/>
          <w:sz w:val="21"/>
          <w:szCs w:val="21"/>
        </w:rPr>
        <w:t>Sindaco</w:t>
      </w:r>
    </w:p>
    <w:p w14:paraId="51606215" w14:textId="77777777" w:rsidR="003A719B" w:rsidRDefault="00DF4CA4">
      <w:pPr>
        <w:pStyle w:val="Corpodeltesto2"/>
        <w:numPr>
          <w:ilvl w:val="0"/>
          <w:numId w:val="17"/>
        </w:numPr>
        <w:spacing w:before="120"/>
        <w:rPr>
          <w:rFonts w:ascii="Arial" w:hAnsi="Arial" w:cs="Arial"/>
          <w:sz w:val="21"/>
          <w:szCs w:val="21"/>
        </w:rPr>
      </w:pPr>
      <w:r>
        <w:rPr>
          <w:rFonts w:ascii="Arial" w:hAnsi="Arial" w:cs="Arial"/>
          <w:sz w:val="21"/>
          <w:szCs w:val="21"/>
        </w:rPr>
        <w:t>Consiglio Comun</w:t>
      </w:r>
      <w:r>
        <w:rPr>
          <w:rFonts w:ascii="Arial" w:hAnsi="Arial" w:cs="Arial"/>
          <w:sz w:val="21"/>
          <w:szCs w:val="21"/>
        </w:rPr>
        <w:t>ale (totale n. 13 componenti, di cui appartenenti al gruppo consiliare di maggioranza e n. 5 al gruppo consiliare di minoranza)</w:t>
      </w:r>
    </w:p>
    <w:p w14:paraId="799F969E" w14:textId="77777777" w:rsidR="003A719B" w:rsidRDefault="00DF4CA4">
      <w:pPr>
        <w:pStyle w:val="Corpodeltesto2"/>
        <w:numPr>
          <w:ilvl w:val="0"/>
          <w:numId w:val="17"/>
        </w:numPr>
        <w:spacing w:before="120"/>
        <w:rPr>
          <w:rFonts w:ascii="Arial" w:hAnsi="Arial" w:cs="Arial"/>
          <w:sz w:val="21"/>
          <w:szCs w:val="21"/>
        </w:rPr>
      </w:pPr>
      <w:r>
        <w:rPr>
          <w:rFonts w:ascii="Arial" w:hAnsi="Arial" w:cs="Arial"/>
          <w:sz w:val="21"/>
          <w:szCs w:val="21"/>
        </w:rPr>
        <w:t>Giunta Comunale (n. 5 componenti)</w:t>
      </w:r>
    </w:p>
    <w:p w14:paraId="7A62272D" w14:textId="77777777" w:rsidR="003A719B" w:rsidRDefault="003A719B">
      <w:pPr>
        <w:pStyle w:val="Corpodeltesto2"/>
        <w:spacing w:before="100"/>
        <w:rPr>
          <w:rFonts w:ascii="Arial" w:hAnsi="Arial" w:cs="Arial"/>
          <w:i/>
          <w:sz w:val="21"/>
          <w:szCs w:val="21"/>
        </w:rPr>
      </w:pPr>
    </w:p>
    <w:p w14:paraId="2285EC40" w14:textId="77777777" w:rsidR="003A719B" w:rsidRDefault="00DF4CA4">
      <w:pPr>
        <w:pStyle w:val="Corpodeltesto2"/>
        <w:spacing w:before="100"/>
        <w:rPr>
          <w:rFonts w:ascii="Arial" w:hAnsi="Arial" w:cs="Arial"/>
          <w:b/>
          <w:i/>
          <w:sz w:val="21"/>
          <w:szCs w:val="21"/>
        </w:rPr>
      </w:pPr>
      <w:r>
        <w:rPr>
          <w:rFonts w:ascii="Arial" w:hAnsi="Arial" w:cs="Arial"/>
          <w:b/>
          <w:i/>
          <w:sz w:val="21"/>
          <w:szCs w:val="21"/>
        </w:rPr>
        <w:t>Parte gestionale:</w:t>
      </w:r>
    </w:p>
    <w:p w14:paraId="06C51351" w14:textId="77777777" w:rsidR="003A719B" w:rsidRDefault="00DF4CA4">
      <w:pPr>
        <w:widowControl/>
        <w:shd w:val="clear" w:color="auto" w:fill="FFFFFF"/>
        <w:suppressAutoHyphens w:val="0"/>
        <w:spacing w:before="100"/>
        <w:jc w:val="both"/>
        <w:textAlignment w:val="auto"/>
      </w:pPr>
      <w:r>
        <w:rPr>
          <w:rFonts w:ascii="Arial" w:eastAsia="Times New Roman" w:hAnsi="Arial" w:cs="Arial"/>
          <w:b/>
          <w:bCs/>
          <w:i/>
          <w:iCs/>
          <w:color w:val="222222"/>
          <w:kern w:val="0"/>
          <w:sz w:val="21"/>
          <w:szCs w:val="21"/>
          <w:lang w:eastAsia="it-IT" w:bidi="ar-SA"/>
        </w:rPr>
        <w:t>Parte gestionale:</w:t>
      </w:r>
    </w:p>
    <w:p w14:paraId="5182C984"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 AI CITTADINI:</w:t>
      </w:r>
    </w:p>
    <w:p w14:paraId="2179A48C"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 SEGRETERIA GENERALE</w:t>
      </w:r>
    </w:p>
    <w:p w14:paraId="52AA4F4C"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Segretario Comunale : (in convenzione con il Comune di Rabbi)</w:t>
      </w:r>
    </w:p>
    <w:p w14:paraId="6AB0F88A"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Vice- Segretario Comunale</w:t>
      </w:r>
    </w:p>
    <w:p w14:paraId="223BAF7C"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Coadiutore amministrativo - cat. B evoluto</w:t>
      </w:r>
    </w:p>
    <w:p w14:paraId="66C7EA5B"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amministrativo/contabile - cat. </w:t>
      </w:r>
      <w:r>
        <w:rPr>
          <w:rFonts w:ascii="Arial" w:eastAsia="Times New Roman" w:hAnsi="Arial" w:cs="Arial"/>
          <w:color w:val="222222"/>
          <w:kern w:val="0"/>
          <w:sz w:val="21"/>
          <w:szCs w:val="21"/>
          <w:lang w:val="en-US" w:eastAsia="it-IT" w:bidi="ar-SA"/>
        </w:rPr>
        <w:t>C base – part time (29h</w:t>
      </w:r>
      <w:r>
        <w:rPr>
          <w:rFonts w:ascii="Arial" w:eastAsia="Times New Roman" w:hAnsi="Arial" w:cs="Arial"/>
          <w:color w:val="222222"/>
          <w:kern w:val="0"/>
          <w:sz w:val="21"/>
          <w:szCs w:val="21"/>
          <w:lang w:val="en-US" w:eastAsia="it-IT" w:bidi="ar-SA"/>
        </w:rPr>
        <w:t>/sett)</w:t>
      </w:r>
    </w:p>
    <w:p w14:paraId="1E769BBF"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amministrativo/contabile - cat. </w:t>
      </w:r>
      <w:r>
        <w:rPr>
          <w:rFonts w:ascii="Arial" w:eastAsia="Times New Roman" w:hAnsi="Arial" w:cs="Arial"/>
          <w:color w:val="222222"/>
          <w:kern w:val="0"/>
          <w:sz w:val="21"/>
          <w:szCs w:val="21"/>
          <w:lang w:val="en-US" w:eastAsia="it-IT" w:bidi="ar-SA"/>
        </w:rPr>
        <w:t>C base – part time (25h/sett) – Ufficio Personale</w:t>
      </w:r>
    </w:p>
    <w:p w14:paraId="4741BD70" w14:textId="77777777" w:rsidR="003A719B" w:rsidRDefault="00DF4CA4">
      <w:pPr>
        <w:widowControl/>
        <w:shd w:val="clear" w:color="auto" w:fill="FFFFFF"/>
        <w:suppressAutoHyphens w:val="0"/>
        <w:spacing w:before="100"/>
        <w:jc w:val="both"/>
        <w:textAlignment w:val="auto"/>
      </w:pPr>
      <w:r>
        <w:rPr>
          <w:rFonts w:ascii="Arial" w:eastAsia="Times New Roman" w:hAnsi="Arial" w:cs="Arial"/>
          <w:color w:val="222222"/>
          <w:kern w:val="0"/>
          <w:sz w:val="21"/>
          <w:szCs w:val="21"/>
          <w:lang w:val="en-US" w:eastAsia="it-IT" w:bidi="ar-SA"/>
        </w:rPr>
        <w:t>- ATTIVITA’ CULTURALI</w:t>
      </w:r>
    </w:p>
    <w:p w14:paraId="400D3D5E"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Collaboratore amministrativo – cat. C evoluto</w:t>
      </w:r>
    </w:p>
    <w:p w14:paraId="56F80428"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SERVIZIO FINANZIARIO</w:t>
      </w:r>
    </w:p>
    <w:p w14:paraId="03C4578A"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Collaboratore contabil</w:t>
      </w:r>
      <w:r>
        <w:rPr>
          <w:rFonts w:ascii="Arial" w:eastAsia="Times New Roman" w:hAnsi="Arial" w:cs="Arial"/>
          <w:color w:val="222222"/>
          <w:kern w:val="0"/>
          <w:sz w:val="21"/>
          <w:szCs w:val="21"/>
          <w:lang w:eastAsia="it-IT" w:bidi="ar-SA"/>
        </w:rPr>
        <w:t>e – cat. C. evoluto - part time (27h/sett)</w:t>
      </w:r>
    </w:p>
    <w:p w14:paraId="1E5EF6EB"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lastRenderedPageBreak/>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Collaboratore amministrativo/contabile – cat. C evoluto – Responsabile Ufficio Tributi</w:t>
      </w:r>
    </w:p>
    <w:p w14:paraId="3C33482C"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 xml:space="preserve">N. 1 Assistente amministrativo/contabile - cat. C base </w:t>
      </w:r>
    </w:p>
    <w:p w14:paraId="16649FAC"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 DEMOGRAFICI</w:t>
      </w:r>
    </w:p>
    <w:p w14:paraId="2D4E3B3D"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 xml:space="preserve">N. 1 </w:t>
      </w:r>
      <w:r>
        <w:rPr>
          <w:rFonts w:ascii="Arial" w:eastAsia="Times New Roman" w:hAnsi="Arial" w:cs="Arial"/>
          <w:color w:val="222222"/>
          <w:kern w:val="0"/>
          <w:sz w:val="21"/>
          <w:szCs w:val="21"/>
          <w:lang w:eastAsia="it-IT" w:bidi="ar-SA"/>
        </w:rPr>
        <w:t>Collaboratore amministrativo/contabile – cat. C evoluto – part time (29h/sett) - Responsabile Uffici Anagrafe, elettorale e Stato civile</w:t>
      </w:r>
    </w:p>
    <w:p w14:paraId="2D435E04"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amministrativo - cat. C base – (a tempo indeterminato a partire dal 01.03.2020)</w:t>
      </w:r>
    </w:p>
    <w:p w14:paraId="0C7A848A"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SERVIZIO COMM</w:t>
      </w:r>
      <w:r>
        <w:rPr>
          <w:rFonts w:ascii="Arial" w:eastAsia="Times New Roman" w:hAnsi="Arial" w:cs="Arial"/>
          <w:i/>
          <w:iCs/>
          <w:color w:val="222222"/>
          <w:kern w:val="0"/>
          <w:sz w:val="21"/>
          <w:szCs w:val="21"/>
          <w:lang w:eastAsia="it-IT" w:bidi="ar-SA"/>
        </w:rPr>
        <w:t>ERCIO</w:t>
      </w:r>
    </w:p>
    <w:p w14:paraId="533B67BE"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amministrativo - cat. C base – (in comando dal Comune di Borgo D’Anaunia)</w:t>
      </w:r>
    </w:p>
    <w:p w14:paraId="2907B40C"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SERVIZIO LAVORI PUBBLICI</w:t>
      </w:r>
    </w:p>
    <w:p w14:paraId="279309E7"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Collaboratore tecnico – cat. C evoluto - Responsabile Ufficio lavori pubblici</w:t>
      </w:r>
    </w:p>
    <w:p w14:paraId="4EEF98B7"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ammini</w:t>
      </w:r>
      <w:r>
        <w:rPr>
          <w:rFonts w:ascii="Arial" w:eastAsia="Times New Roman" w:hAnsi="Arial" w:cs="Arial"/>
          <w:color w:val="222222"/>
          <w:kern w:val="0"/>
          <w:sz w:val="21"/>
          <w:szCs w:val="21"/>
          <w:lang w:eastAsia="it-IT" w:bidi="ar-SA"/>
        </w:rPr>
        <w:t>strativo/contabile - cat. C base – (posto vacante)</w:t>
      </w:r>
    </w:p>
    <w:p w14:paraId="58C28E5A"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SERVIZIO EDILIZIA PRIVATA</w:t>
      </w:r>
    </w:p>
    <w:p w14:paraId="3ADC05C9"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tecnico - cat. C base – Responsabile Ufficio edilizi privata</w:t>
      </w:r>
    </w:p>
    <w:p w14:paraId="25D6C9DC"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Assistente amministrativo/contabile - cat. C base</w:t>
      </w:r>
    </w:p>
    <w:p w14:paraId="3C0ACE98"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PERSONALE OPERAIO</w:t>
      </w:r>
    </w:p>
    <w:p w14:paraId="05A4769D"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5 operaio qualificato – cat. B base</w:t>
      </w:r>
    </w:p>
    <w:p w14:paraId="11670CE6"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SCUOLA DELL’INFANZIA</w:t>
      </w:r>
    </w:p>
    <w:p w14:paraId="39669F4F"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1 cuoco – cat. B evoluto</w:t>
      </w:r>
    </w:p>
    <w:p w14:paraId="30FA65AE"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addette ai servizi ausiliari – cat. A1 – a tempo indeterminato</w:t>
      </w:r>
    </w:p>
    <w:p w14:paraId="111B7EBC"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 xml:space="preserve">N. 2 addette ai servizi ausiliari – cat. A1 – a tempo </w:t>
      </w:r>
      <w:r>
        <w:rPr>
          <w:rFonts w:ascii="Arial" w:eastAsia="Times New Roman" w:hAnsi="Arial" w:cs="Arial"/>
          <w:color w:val="222222"/>
          <w:kern w:val="0"/>
          <w:sz w:val="21"/>
          <w:szCs w:val="21"/>
          <w:lang w:eastAsia="it-IT" w:bidi="ar-SA"/>
        </w:rPr>
        <w:t>determinato (1 tempo pieno e 1 25,30h)</w:t>
      </w:r>
    </w:p>
    <w:p w14:paraId="66D9A073" w14:textId="77777777" w:rsidR="003A719B" w:rsidRDefault="00DF4CA4">
      <w:pPr>
        <w:widowControl/>
        <w:shd w:val="clear" w:color="auto" w:fill="FFFFFF"/>
        <w:suppressAutoHyphens w:val="0"/>
        <w:spacing w:before="100"/>
        <w:jc w:val="both"/>
        <w:textAlignment w:val="auto"/>
      </w:pPr>
      <w:r>
        <w:rPr>
          <w:rFonts w:ascii="Arial" w:eastAsia="Times New Roman" w:hAnsi="Arial" w:cs="Arial"/>
          <w:i/>
          <w:iCs/>
          <w:color w:val="222222"/>
          <w:kern w:val="0"/>
          <w:sz w:val="21"/>
          <w:szCs w:val="21"/>
          <w:lang w:eastAsia="it-IT" w:bidi="ar-SA"/>
        </w:rPr>
        <w:t>SERVIZIO DI CUSTODIA FORESTALE</w:t>
      </w:r>
    </w:p>
    <w:p w14:paraId="45ED57C9" w14:textId="77777777" w:rsidR="003A719B" w:rsidRDefault="00DF4CA4">
      <w:pPr>
        <w:widowControl/>
        <w:shd w:val="clear" w:color="auto" w:fill="FFFFFF"/>
        <w:suppressAutoHyphens w:val="0"/>
        <w:spacing w:before="100"/>
        <w:ind w:left="360"/>
        <w:jc w:val="both"/>
        <w:textAlignment w:val="auto"/>
      </w:pPr>
      <w:r>
        <w:rPr>
          <w:rFonts w:ascii="Symbol" w:eastAsia="Times New Roman" w:hAnsi="Symbol" w:cs="Times New Roman"/>
          <w:color w:val="222222"/>
          <w:kern w:val="0"/>
          <w:sz w:val="21"/>
          <w:szCs w:val="21"/>
          <w:lang w:eastAsia="it-IT" w:bidi="ar-SA"/>
        </w:rPr>
        <w:t>·</w:t>
      </w:r>
      <w:r>
        <w:rPr>
          <w:rFonts w:eastAsia="Times New Roman" w:cs="Times New Roman"/>
          <w:color w:val="222222"/>
          <w:kern w:val="0"/>
          <w:sz w:val="14"/>
          <w:szCs w:val="14"/>
          <w:lang w:eastAsia="it-IT" w:bidi="ar-SA"/>
        </w:rPr>
        <w:t>         </w:t>
      </w:r>
      <w:r>
        <w:rPr>
          <w:rFonts w:ascii="Arial" w:eastAsia="Times New Roman" w:hAnsi="Arial" w:cs="Arial"/>
          <w:color w:val="222222"/>
          <w:kern w:val="0"/>
          <w:sz w:val="21"/>
          <w:szCs w:val="21"/>
          <w:lang w:eastAsia="it-IT" w:bidi="ar-SA"/>
        </w:rPr>
        <w:t>N. 3 custodi forestali – cat. C base</w:t>
      </w:r>
    </w:p>
    <w:p w14:paraId="3D4D8519" w14:textId="77777777" w:rsidR="003A719B" w:rsidRDefault="003A719B">
      <w:pPr>
        <w:widowControl/>
        <w:suppressAutoHyphens w:val="0"/>
        <w:spacing w:after="160"/>
        <w:textAlignment w:val="auto"/>
        <w:rPr>
          <w:rFonts w:ascii="Calibri" w:eastAsia="Calibri" w:hAnsi="Calibri" w:cs="Times New Roman"/>
          <w:kern w:val="0"/>
          <w:sz w:val="22"/>
          <w:szCs w:val="22"/>
          <w:lang w:eastAsia="en-US" w:bidi="ar-SA"/>
        </w:rPr>
      </w:pPr>
    </w:p>
    <w:p w14:paraId="61F7EA12" w14:textId="77777777" w:rsidR="003A719B" w:rsidRDefault="00DF4CA4">
      <w:pPr>
        <w:pStyle w:val="Standard"/>
        <w:spacing w:before="100"/>
        <w:jc w:val="both"/>
        <w:textAlignment w:val="top"/>
        <w:rPr>
          <w:rFonts w:ascii="Arial" w:hAnsi="Arial" w:cs="Arial"/>
          <w:sz w:val="21"/>
          <w:szCs w:val="21"/>
        </w:rPr>
      </w:pPr>
      <w:r>
        <w:rPr>
          <w:rFonts w:ascii="Arial" w:hAnsi="Arial" w:cs="Arial"/>
          <w:sz w:val="21"/>
          <w:szCs w:val="21"/>
        </w:rPr>
        <w:t xml:space="preserve">Ai sensi della delibera 831 del 03.08.2016 di ANAC si segnala che il ruolo di RASA (soggetto responsabile dell’inserimento e </w:t>
      </w:r>
      <w:r>
        <w:rPr>
          <w:rFonts w:ascii="Arial" w:hAnsi="Arial" w:cs="Arial"/>
          <w:sz w:val="21"/>
          <w:szCs w:val="21"/>
        </w:rPr>
        <w:t>dell’aggiornamento annuale degli elementi identificativi della stazione appaltante stessa) del Comune è stato assunto dal segretario comunale dott. Silvio Rossi.</w:t>
      </w:r>
    </w:p>
    <w:p w14:paraId="7EDB9425"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Si rappresenta che il presente Piano prende in considerazione esclusivamente i processi critic</w:t>
      </w:r>
      <w:r>
        <w:rPr>
          <w:rFonts w:ascii="Arial" w:eastAsia="Calibri" w:hAnsi="Arial" w:cs="Arial"/>
          <w:sz w:val="21"/>
          <w:szCs w:val="21"/>
          <w:lang w:eastAsia="en-US"/>
        </w:rPr>
        <w:t>i direttamente gestiti. A tal fine si sottolinea che tra questi non possono figurare quelli relativi ai seguenti servizi resi alla cittadinanza quali:</w:t>
      </w:r>
    </w:p>
    <w:p w14:paraId="48CF46F4" w14:textId="77777777" w:rsidR="003A719B" w:rsidRDefault="00DF4CA4">
      <w:pPr>
        <w:widowControl/>
        <w:numPr>
          <w:ilvl w:val="0"/>
          <w:numId w:val="18"/>
        </w:numPr>
        <w:suppressAutoHyphens w:val="0"/>
        <w:jc w:val="both"/>
        <w:textAlignment w:val="auto"/>
        <w:rPr>
          <w:rFonts w:ascii="Arial" w:hAnsi="Arial" w:cs="Arial"/>
          <w:sz w:val="21"/>
          <w:szCs w:val="21"/>
        </w:rPr>
      </w:pPr>
      <w:r>
        <w:rPr>
          <w:rFonts w:ascii="Arial" w:hAnsi="Arial" w:cs="Arial"/>
          <w:sz w:val="21"/>
          <w:szCs w:val="21"/>
        </w:rPr>
        <w:t>Tributi - limitatamente alla gestione per l’applicazione della T.I.A. (Tariffa di igiene ambientale) in f</w:t>
      </w:r>
      <w:r>
        <w:rPr>
          <w:rFonts w:ascii="Arial" w:hAnsi="Arial" w:cs="Arial"/>
          <w:sz w:val="21"/>
          <w:szCs w:val="21"/>
        </w:rPr>
        <w:t>orza della Convenzione sottoscritta con la Comunità della Valle di Non;</w:t>
      </w:r>
    </w:p>
    <w:p w14:paraId="52E1CDB0" w14:textId="77777777" w:rsidR="003A719B" w:rsidRDefault="00DF4CA4">
      <w:pPr>
        <w:pStyle w:val="Standard"/>
        <w:numPr>
          <w:ilvl w:val="0"/>
          <w:numId w:val="18"/>
        </w:numPr>
        <w:spacing w:before="100"/>
        <w:jc w:val="both"/>
      </w:pPr>
      <w:r>
        <w:rPr>
          <w:rFonts w:ascii="Arial" w:hAnsi="Arial" w:cs="Arial"/>
          <w:sz w:val="21"/>
          <w:szCs w:val="21"/>
        </w:rPr>
        <w:t>Scuola dell’Infanzia limitatamente alla gestione del personale ausiliario e del cuoco.</w:t>
      </w:r>
    </w:p>
    <w:p w14:paraId="3B9CCAFB" w14:textId="77777777" w:rsidR="003A719B" w:rsidRDefault="003A719B">
      <w:pPr>
        <w:pStyle w:val="Standard"/>
        <w:spacing w:before="100"/>
        <w:jc w:val="both"/>
        <w:rPr>
          <w:rFonts w:ascii="Arial" w:eastAsia="Calibri" w:hAnsi="Arial" w:cs="Arial"/>
          <w:sz w:val="21"/>
          <w:szCs w:val="21"/>
          <w:lang w:eastAsia="en-US"/>
        </w:rPr>
      </w:pPr>
    </w:p>
    <w:p w14:paraId="0923C432" w14:textId="77777777" w:rsidR="003A719B" w:rsidRDefault="00DF4CA4">
      <w:pPr>
        <w:pStyle w:val="Standard"/>
        <w:spacing w:before="100"/>
        <w:jc w:val="both"/>
        <w:rPr>
          <w:rFonts w:ascii="Arial" w:eastAsia="Calibri" w:hAnsi="Arial" w:cs="Arial"/>
          <w:sz w:val="21"/>
          <w:szCs w:val="21"/>
          <w:lang w:eastAsia="en-US"/>
        </w:rPr>
      </w:pPr>
      <w:r>
        <w:rPr>
          <w:rFonts w:ascii="Arial" w:eastAsia="Calibri" w:hAnsi="Arial" w:cs="Arial"/>
          <w:sz w:val="21"/>
          <w:szCs w:val="21"/>
          <w:lang w:eastAsia="en-US"/>
        </w:rPr>
        <w:t xml:space="preserve">Sono inoltre resi in forma esternalizzata, e quindi dell’integrità degli operatori impegnati su </w:t>
      </w:r>
      <w:r>
        <w:rPr>
          <w:rFonts w:ascii="Arial" w:eastAsia="Calibri" w:hAnsi="Arial" w:cs="Arial"/>
          <w:sz w:val="21"/>
          <w:szCs w:val="21"/>
          <w:lang w:eastAsia="en-US"/>
        </w:rPr>
        <w:t>tali attività dovrà necessariamente rispondere il soggetto gestore, i seguenti servizi:</w:t>
      </w:r>
    </w:p>
    <w:p w14:paraId="3C2A70CE" w14:textId="77777777" w:rsidR="003A719B" w:rsidRDefault="00DF4CA4">
      <w:pPr>
        <w:widowControl/>
        <w:numPr>
          <w:ilvl w:val="0"/>
          <w:numId w:val="19"/>
        </w:numPr>
        <w:suppressAutoHyphens w:val="0"/>
        <w:jc w:val="both"/>
        <w:textAlignment w:val="auto"/>
        <w:rPr>
          <w:rFonts w:ascii="Arial" w:hAnsi="Arial" w:cs="Arial"/>
          <w:sz w:val="21"/>
          <w:szCs w:val="21"/>
        </w:rPr>
      </w:pPr>
      <w:r>
        <w:rPr>
          <w:rFonts w:ascii="Arial" w:hAnsi="Arial" w:cs="Arial"/>
          <w:sz w:val="21"/>
          <w:szCs w:val="21"/>
        </w:rPr>
        <w:t>Polizia locale – resa tramite gestione associata, della cui organizzazione risponde il Comune capofila di Fondo tramite convenzione;</w:t>
      </w:r>
    </w:p>
    <w:p w14:paraId="433662FB" w14:textId="77777777" w:rsidR="003A719B" w:rsidRDefault="00DF4CA4">
      <w:pPr>
        <w:widowControl/>
        <w:numPr>
          <w:ilvl w:val="0"/>
          <w:numId w:val="19"/>
        </w:numPr>
        <w:suppressAutoHyphens w:val="0"/>
        <w:jc w:val="both"/>
        <w:textAlignment w:val="auto"/>
        <w:rPr>
          <w:rFonts w:ascii="Arial" w:hAnsi="Arial" w:cs="Arial"/>
          <w:sz w:val="21"/>
          <w:szCs w:val="21"/>
        </w:rPr>
      </w:pPr>
      <w:r>
        <w:rPr>
          <w:rFonts w:ascii="Arial" w:hAnsi="Arial" w:cs="Arial"/>
          <w:sz w:val="21"/>
          <w:szCs w:val="21"/>
        </w:rPr>
        <w:t>Ciclo rifiuti - TIA – demandati all</w:t>
      </w:r>
      <w:r>
        <w:rPr>
          <w:rFonts w:ascii="Arial" w:hAnsi="Arial" w:cs="Arial"/>
          <w:sz w:val="21"/>
          <w:szCs w:val="21"/>
        </w:rPr>
        <w:t>a gestione della Comunità di Valle in forza di convenzione;</w:t>
      </w:r>
    </w:p>
    <w:p w14:paraId="1880105A" w14:textId="77777777" w:rsidR="003A719B" w:rsidRDefault="00DF4CA4">
      <w:pPr>
        <w:widowControl/>
        <w:numPr>
          <w:ilvl w:val="0"/>
          <w:numId w:val="19"/>
        </w:numPr>
        <w:suppressAutoHyphens w:val="0"/>
        <w:jc w:val="both"/>
        <w:textAlignment w:val="auto"/>
        <w:rPr>
          <w:rFonts w:ascii="Arial" w:hAnsi="Arial" w:cs="Arial"/>
          <w:sz w:val="21"/>
          <w:szCs w:val="21"/>
        </w:rPr>
      </w:pPr>
      <w:r>
        <w:rPr>
          <w:rFonts w:ascii="Arial" w:hAnsi="Arial" w:cs="Arial"/>
          <w:sz w:val="21"/>
          <w:szCs w:val="21"/>
        </w:rPr>
        <w:t>Sgombero neve gestito, solo in alcune frazioni, mediante affido a ditte private dotate di idonea attrezzatura in forza dei contratti approvati con delibera dell’organo giuntale;</w:t>
      </w:r>
    </w:p>
    <w:p w14:paraId="04000605" w14:textId="77777777" w:rsidR="003A719B" w:rsidRDefault="00DF4CA4">
      <w:pPr>
        <w:widowControl/>
        <w:numPr>
          <w:ilvl w:val="0"/>
          <w:numId w:val="19"/>
        </w:numPr>
        <w:suppressAutoHyphens w:val="0"/>
        <w:jc w:val="both"/>
        <w:textAlignment w:val="auto"/>
        <w:rPr>
          <w:rFonts w:ascii="Arial" w:hAnsi="Arial" w:cs="Arial"/>
          <w:sz w:val="21"/>
          <w:szCs w:val="21"/>
        </w:rPr>
      </w:pPr>
      <w:r>
        <w:rPr>
          <w:rFonts w:ascii="Arial" w:hAnsi="Arial" w:cs="Arial"/>
          <w:sz w:val="21"/>
          <w:szCs w:val="21"/>
        </w:rPr>
        <w:t xml:space="preserve">Manutenzione </w:t>
      </w:r>
      <w:r>
        <w:rPr>
          <w:rFonts w:ascii="Arial" w:hAnsi="Arial" w:cs="Arial"/>
          <w:sz w:val="21"/>
          <w:szCs w:val="21"/>
        </w:rPr>
        <w:t>rete di illuminazione pubblica affidata a ditta privata, dotata di idonea attrezzatura ed operante nel settore;</w:t>
      </w:r>
    </w:p>
    <w:p w14:paraId="0FF39F92" w14:textId="77777777" w:rsidR="003A719B" w:rsidRDefault="00DF4CA4">
      <w:pPr>
        <w:widowControl/>
        <w:numPr>
          <w:ilvl w:val="0"/>
          <w:numId w:val="19"/>
        </w:numPr>
        <w:suppressAutoHyphens w:val="0"/>
        <w:jc w:val="both"/>
        <w:textAlignment w:val="auto"/>
        <w:rPr>
          <w:rFonts w:ascii="Arial" w:hAnsi="Arial" w:cs="Arial"/>
          <w:sz w:val="21"/>
          <w:szCs w:val="21"/>
        </w:rPr>
      </w:pPr>
      <w:r>
        <w:rPr>
          <w:rFonts w:ascii="Arial" w:hAnsi="Arial" w:cs="Arial"/>
          <w:sz w:val="21"/>
          <w:szCs w:val="21"/>
        </w:rPr>
        <w:t xml:space="preserve">Gestione del Servizio di Tesoreria comunale mediante affido alla Cassa Rurale Novella e Alta Anaunia in forza di convenzione approvata con </w:t>
      </w:r>
      <w:r>
        <w:rPr>
          <w:rFonts w:ascii="Arial" w:hAnsi="Arial" w:cs="Arial"/>
          <w:sz w:val="21"/>
          <w:szCs w:val="21"/>
        </w:rPr>
        <w:t>delibera giuntale (n. 91 del 08.11.2016 del comune di Revò, n. 64 del 07.11.2016 del comune di Romallo, n. 71 del 02.11.2016 del comune di Cagnò, n. 96 del 02.11.2016 del comune di Cloz e n. 86 del 11.11.2016 del comune di Brez) avente ad oggetto: Approvaz</w:t>
      </w:r>
      <w:r>
        <w:rPr>
          <w:rFonts w:ascii="Arial" w:hAnsi="Arial" w:cs="Arial"/>
          <w:sz w:val="21"/>
          <w:szCs w:val="21"/>
        </w:rPr>
        <w:t xml:space="preserve">ione “Capitolato Speciale d’Appalto” per l’affidamento del Servizio di Tesoreria per conto dei </w:t>
      </w:r>
      <w:r>
        <w:rPr>
          <w:rFonts w:ascii="Arial" w:hAnsi="Arial" w:cs="Arial"/>
          <w:sz w:val="21"/>
          <w:szCs w:val="21"/>
        </w:rPr>
        <w:lastRenderedPageBreak/>
        <w:t>Comuni di: Brez – Cagnò – Cloz – Revò e Romallo per il periodo: 1.01.2017 – 31.12.2019 e per conto del nuovo Comune “Novella” per il periodo: 1.01.2020 – 31.12.2</w:t>
      </w:r>
      <w:r>
        <w:rPr>
          <w:rFonts w:ascii="Arial" w:hAnsi="Arial" w:cs="Arial"/>
          <w:sz w:val="21"/>
          <w:szCs w:val="21"/>
        </w:rPr>
        <w:t>021.</w:t>
      </w:r>
    </w:p>
    <w:p w14:paraId="103D6EE5" w14:textId="77777777" w:rsidR="003A719B" w:rsidRDefault="003A719B">
      <w:pPr>
        <w:jc w:val="both"/>
        <w:textAlignment w:val="top"/>
        <w:rPr>
          <w:rFonts w:ascii="Arial" w:hAnsi="Arial" w:cs="Arial"/>
          <w:sz w:val="21"/>
          <w:szCs w:val="21"/>
          <w:shd w:val="clear" w:color="auto" w:fill="FFFF00"/>
          <w:lang w:eastAsia="it-IT"/>
        </w:rPr>
      </w:pPr>
    </w:p>
    <w:p w14:paraId="1FD40C47" w14:textId="77777777" w:rsidR="003A719B" w:rsidRDefault="00DF4CA4">
      <w:pPr>
        <w:jc w:val="both"/>
        <w:rPr>
          <w:rFonts w:ascii="Arial" w:hAnsi="Arial" w:cs="Arial"/>
          <w:sz w:val="21"/>
          <w:szCs w:val="21"/>
        </w:rPr>
      </w:pPr>
      <w:r>
        <w:rPr>
          <w:rFonts w:ascii="Arial" w:hAnsi="Arial" w:cs="Arial"/>
          <w:sz w:val="21"/>
          <w:szCs w:val="21"/>
        </w:rPr>
        <w:t>Il Comune di Novella, in quanto capofila dei seguenti Servizi:</w:t>
      </w:r>
    </w:p>
    <w:p w14:paraId="24E7C567" w14:textId="77777777" w:rsidR="003A719B" w:rsidRDefault="00DF4CA4">
      <w:pPr>
        <w:widowControl/>
        <w:numPr>
          <w:ilvl w:val="0"/>
          <w:numId w:val="20"/>
        </w:numPr>
        <w:suppressAutoHyphens w:val="0"/>
        <w:jc w:val="both"/>
        <w:textAlignment w:val="auto"/>
        <w:rPr>
          <w:rFonts w:ascii="Arial" w:hAnsi="Arial" w:cs="Arial"/>
          <w:sz w:val="21"/>
          <w:szCs w:val="21"/>
        </w:rPr>
      </w:pPr>
      <w:r>
        <w:rPr>
          <w:rFonts w:ascii="Arial" w:hAnsi="Arial" w:cs="Arial"/>
          <w:sz w:val="21"/>
          <w:szCs w:val="21"/>
        </w:rPr>
        <w:t>Servizio Segreteria comunale con il comune di Rabbi;</w:t>
      </w:r>
    </w:p>
    <w:p w14:paraId="6A8CD070" w14:textId="77777777" w:rsidR="003A719B" w:rsidRDefault="00DF4CA4">
      <w:pPr>
        <w:widowControl/>
        <w:numPr>
          <w:ilvl w:val="0"/>
          <w:numId w:val="20"/>
        </w:numPr>
        <w:suppressAutoHyphens w:val="0"/>
        <w:jc w:val="both"/>
        <w:textAlignment w:val="auto"/>
        <w:rPr>
          <w:rFonts w:ascii="Arial" w:hAnsi="Arial" w:cs="Arial"/>
          <w:sz w:val="21"/>
          <w:szCs w:val="21"/>
        </w:rPr>
      </w:pPr>
      <w:r>
        <w:rPr>
          <w:rFonts w:ascii="Arial" w:hAnsi="Arial" w:cs="Arial"/>
          <w:sz w:val="21"/>
          <w:szCs w:val="21"/>
        </w:rPr>
        <w:t>Servizio di custodia forestale Maddalene fra i Comuni di Cis, Novella, Bresimo e le Asuc di Livo, Preghena, Mione, Corte, Marcena, Moc</w:t>
      </w:r>
      <w:r>
        <w:rPr>
          <w:rFonts w:ascii="Arial" w:hAnsi="Arial" w:cs="Arial"/>
          <w:sz w:val="21"/>
          <w:szCs w:val="21"/>
        </w:rPr>
        <w:t>enigo e Lanza;</w:t>
      </w:r>
    </w:p>
    <w:p w14:paraId="37255897" w14:textId="77777777" w:rsidR="003A719B" w:rsidRDefault="00DF4CA4">
      <w:pPr>
        <w:widowControl/>
        <w:numPr>
          <w:ilvl w:val="0"/>
          <w:numId w:val="20"/>
        </w:numPr>
        <w:suppressAutoHyphens w:val="0"/>
        <w:jc w:val="both"/>
        <w:textAlignment w:val="auto"/>
        <w:rPr>
          <w:rFonts w:ascii="Arial" w:hAnsi="Arial" w:cs="Arial"/>
          <w:sz w:val="21"/>
          <w:szCs w:val="21"/>
        </w:rPr>
      </w:pPr>
      <w:r>
        <w:rPr>
          <w:rFonts w:ascii="Arial" w:hAnsi="Arial" w:cs="Arial"/>
          <w:sz w:val="21"/>
          <w:szCs w:val="21"/>
        </w:rPr>
        <w:t>Consorzio Scuola media con i comuni di Novella e Sanzeno;</w:t>
      </w:r>
    </w:p>
    <w:p w14:paraId="2EC47505" w14:textId="77777777" w:rsidR="003A719B" w:rsidRDefault="003A719B">
      <w:pPr>
        <w:pStyle w:val="Titolo1"/>
        <w:rPr>
          <w:sz w:val="24"/>
          <w:szCs w:val="24"/>
        </w:rPr>
      </w:pPr>
      <w:bookmarkStart w:id="8" w:name="__RefHeading___Toc1946_761212699"/>
    </w:p>
    <w:p w14:paraId="41CA0454" w14:textId="77777777" w:rsidR="003A719B" w:rsidRDefault="00DF4CA4">
      <w:pPr>
        <w:pStyle w:val="Titolo1"/>
        <w:rPr>
          <w:sz w:val="24"/>
          <w:szCs w:val="24"/>
        </w:rPr>
      </w:pPr>
      <w:r>
        <w:rPr>
          <w:sz w:val="24"/>
          <w:szCs w:val="24"/>
        </w:rPr>
        <w:t>4. IL SUPPORTO DEL CONSORZIO DEI COMUNI TRENTINI</w:t>
      </w:r>
      <w:bookmarkEnd w:id="8"/>
    </w:p>
    <w:p w14:paraId="7E14D73D" w14:textId="77777777" w:rsidR="003A719B" w:rsidRDefault="00DF4CA4">
      <w:pPr>
        <w:pStyle w:val="Standard"/>
        <w:autoSpaceDE w:val="0"/>
        <w:spacing w:before="100"/>
        <w:jc w:val="both"/>
        <w:rPr>
          <w:rFonts w:ascii="Arial" w:hAnsi="Arial" w:cs="Arial"/>
          <w:sz w:val="21"/>
          <w:szCs w:val="21"/>
        </w:rPr>
      </w:pPr>
      <w:r>
        <w:rPr>
          <w:rFonts w:ascii="Arial" w:hAnsi="Arial" w:cs="Arial"/>
          <w:sz w:val="21"/>
          <w:szCs w:val="21"/>
        </w:rPr>
        <w:t>Per avviare il processo di costruzione del Piano, nonché per il suo monitoraggio, il Comune si è avvalso del supporto di Formazione d</w:t>
      </w:r>
      <w:r>
        <w:rPr>
          <w:rFonts w:ascii="Arial" w:hAnsi="Arial" w:cs="Arial"/>
          <w:sz w:val="21"/>
          <w:szCs w:val="21"/>
        </w:rPr>
        <w:t>el Consorzio dei Comuni Trentini, e del tutoraggio dallo stesso garantito. Lungo il percorso assistito è stato possibile affinare e omogeneizzare la metodologia di analisi e gestione dei rischi e di costruzione delle azioni di miglioramento, anche grazie a</w:t>
      </w:r>
      <w:r>
        <w:rPr>
          <w:rFonts w:ascii="Arial" w:hAnsi="Arial" w:cs="Arial"/>
          <w:sz w:val="21"/>
          <w:szCs w:val="21"/>
        </w:rPr>
        <w:t>l confronto con realtà omogenee del territorio.</w:t>
      </w:r>
    </w:p>
    <w:p w14:paraId="00923F5E" w14:textId="77777777" w:rsidR="003A719B" w:rsidRDefault="003A719B">
      <w:pPr>
        <w:pStyle w:val="Standard"/>
        <w:autoSpaceDE w:val="0"/>
        <w:spacing w:before="100"/>
        <w:jc w:val="both"/>
        <w:rPr>
          <w:rFonts w:ascii="Arial" w:hAnsi="Arial" w:cs="Arial"/>
          <w:sz w:val="21"/>
          <w:szCs w:val="21"/>
        </w:rPr>
      </w:pPr>
    </w:p>
    <w:p w14:paraId="0595A489" w14:textId="77777777" w:rsidR="003A719B" w:rsidRDefault="00DF4CA4">
      <w:pPr>
        <w:pStyle w:val="Titolo1"/>
        <w:rPr>
          <w:sz w:val="24"/>
          <w:szCs w:val="24"/>
        </w:rPr>
      </w:pPr>
      <w:bookmarkStart w:id="9" w:name="__RefHeading___Toc1948_761212699"/>
      <w:r>
        <w:rPr>
          <w:sz w:val="24"/>
          <w:szCs w:val="24"/>
        </w:rPr>
        <w:t>5. PRINCIPIO DI DELEGA – OBBLIGO DI COLLABORAZIONE – CORRESPONSABILITÀ</w:t>
      </w:r>
      <w:bookmarkEnd w:id="9"/>
    </w:p>
    <w:p w14:paraId="58D5D5C4" w14:textId="77777777" w:rsidR="003A719B" w:rsidRDefault="00DF4CA4">
      <w:pPr>
        <w:pStyle w:val="Standard"/>
        <w:tabs>
          <w:tab w:val="left" w:pos="447"/>
        </w:tabs>
        <w:autoSpaceDE w:val="0"/>
        <w:spacing w:before="100"/>
        <w:jc w:val="both"/>
        <w:rPr>
          <w:rFonts w:ascii="Arial" w:hAnsi="Arial" w:cs="Arial"/>
          <w:sz w:val="21"/>
          <w:szCs w:val="21"/>
        </w:rPr>
      </w:pPr>
      <w:r>
        <w:rPr>
          <w:rFonts w:ascii="Arial" w:hAnsi="Arial" w:cs="Arial"/>
          <w:sz w:val="21"/>
          <w:szCs w:val="21"/>
        </w:rPr>
        <w:t>La progettazione del presente Piano, nel rispetto del principio funzionale della delega – prevede il coinvolgimento dei Funzionari con r</w:t>
      </w:r>
      <w:r>
        <w:rPr>
          <w:rFonts w:ascii="Arial" w:hAnsi="Arial" w:cs="Arial"/>
          <w:sz w:val="21"/>
          <w:szCs w:val="21"/>
        </w:rPr>
        <w:t>esponsabilità organizzativa/direttiva sulle varie strutture dell’Ente. In questa logica si ribadiscono in capo alle figure apicali l’obbligo di collaborazione attiva e la corresponsabilità nella promozione ed adozione di tutte le misure atte a garantire l’</w:t>
      </w:r>
      <w:r>
        <w:rPr>
          <w:rFonts w:ascii="Arial" w:hAnsi="Arial" w:cs="Arial"/>
          <w:sz w:val="21"/>
          <w:szCs w:val="21"/>
        </w:rPr>
        <w:t>integrità dei comportamenti individuali nell’organizzazione.</w:t>
      </w:r>
    </w:p>
    <w:p w14:paraId="1E7695CE" w14:textId="77777777" w:rsidR="003A719B" w:rsidRDefault="00DF4CA4">
      <w:pPr>
        <w:pStyle w:val="Standard"/>
        <w:tabs>
          <w:tab w:val="left" w:pos="447"/>
        </w:tabs>
        <w:autoSpaceDE w:val="0"/>
        <w:spacing w:before="100"/>
        <w:jc w:val="both"/>
        <w:rPr>
          <w:rFonts w:ascii="Arial" w:hAnsi="Arial" w:cs="Arial"/>
          <w:sz w:val="21"/>
          <w:szCs w:val="21"/>
        </w:rPr>
      </w:pPr>
      <w:r>
        <w:rPr>
          <w:rFonts w:ascii="Arial" w:hAnsi="Arial" w:cs="Arial"/>
          <w:sz w:val="21"/>
          <w:szCs w:val="21"/>
        </w:rPr>
        <w:t>A questi fini si è provveduto al trasferimento e all’assegnazione, a detti Responsabili, delle seguenti funzioni:</w:t>
      </w:r>
    </w:p>
    <w:p w14:paraId="465DD302" w14:textId="77777777" w:rsidR="003A719B" w:rsidRDefault="00DF4CA4">
      <w:pPr>
        <w:pStyle w:val="Paragrafoelenco"/>
        <w:numPr>
          <w:ilvl w:val="0"/>
          <w:numId w:val="21"/>
        </w:numPr>
        <w:tabs>
          <w:tab w:val="left" w:pos="568"/>
        </w:tabs>
        <w:autoSpaceDE w:val="0"/>
        <w:spacing w:before="100"/>
        <w:ind w:left="284" w:hanging="284"/>
        <w:jc w:val="both"/>
        <w:rPr>
          <w:rFonts w:ascii="Arial" w:hAnsi="Arial" w:cs="Arial"/>
          <w:sz w:val="21"/>
          <w:szCs w:val="21"/>
        </w:rPr>
      </w:pPr>
      <w:r>
        <w:rPr>
          <w:rFonts w:ascii="Arial" w:hAnsi="Arial" w:cs="Arial"/>
          <w:sz w:val="21"/>
          <w:szCs w:val="21"/>
        </w:rPr>
        <w:t>Collaborazione per l’analisi organizzativa e l’individuazione delle varie critici</w:t>
      </w:r>
      <w:r>
        <w:rPr>
          <w:rFonts w:ascii="Arial" w:hAnsi="Arial" w:cs="Arial"/>
          <w:sz w:val="21"/>
          <w:szCs w:val="21"/>
        </w:rPr>
        <w:t>tà;</w:t>
      </w:r>
    </w:p>
    <w:p w14:paraId="1874BF08" w14:textId="77777777" w:rsidR="003A719B" w:rsidRDefault="00DF4CA4">
      <w:pPr>
        <w:pStyle w:val="Paragrafoelenco"/>
        <w:numPr>
          <w:ilvl w:val="0"/>
          <w:numId w:val="3"/>
        </w:numPr>
        <w:tabs>
          <w:tab w:val="left" w:pos="568"/>
        </w:tabs>
        <w:autoSpaceDE w:val="0"/>
        <w:spacing w:before="100"/>
        <w:ind w:left="284" w:hanging="284"/>
        <w:jc w:val="both"/>
        <w:rPr>
          <w:rFonts w:ascii="Arial" w:hAnsi="Arial" w:cs="Arial"/>
          <w:sz w:val="21"/>
          <w:szCs w:val="21"/>
        </w:rPr>
      </w:pPr>
      <w:r>
        <w:rPr>
          <w:rFonts w:ascii="Arial" w:hAnsi="Arial" w:cs="Arial"/>
          <w:sz w:val="21"/>
          <w:szCs w:val="21"/>
        </w:rPr>
        <w:t>Collaborazione per la mappatura dei rischi all’interno delle singole unità organizzative e dei processi gestiti, mediante l’individuazione, la valutazione e la definizione degli indicatori di rischio;</w:t>
      </w:r>
    </w:p>
    <w:p w14:paraId="51D15E70" w14:textId="77777777" w:rsidR="003A719B" w:rsidRDefault="00DF4CA4">
      <w:pPr>
        <w:pStyle w:val="Paragrafoelenco"/>
        <w:numPr>
          <w:ilvl w:val="0"/>
          <w:numId w:val="3"/>
        </w:numPr>
        <w:tabs>
          <w:tab w:val="left" w:pos="568"/>
        </w:tabs>
        <w:autoSpaceDE w:val="0"/>
        <w:spacing w:before="100"/>
        <w:ind w:left="284" w:hanging="284"/>
        <w:jc w:val="both"/>
        <w:rPr>
          <w:rFonts w:ascii="Arial" w:hAnsi="Arial" w:cs="Arial"/>
          <w:sz w:val="21"/>
          <w:szCs w:val="21"/>
        </w:rPr>
      </w:pPr>
      <w:r>
        <w:rPr>
          <w:rFonts w:ascii="Arial" w:hAnsi="Arial" w:cs="Arial"/>
          <w:sz w:val="21"/>
          <w:szCs w:val="21"/>
        </w:rPr>
        <w:t>Progettazione e formalizzazione delle azioni e degl</w:t>
      </w:r>
      <w:r>
        <w:rPr>
          <w:rFonts w:ascii="Arial" w:hAnsi="Arial" w:cs="Arial"/>
          <w:sz w:val="21"/>
          <w:szCs w:val="21"/>
        </w:rPr>
        <w:t>i interventi necessari e sufficienti a prevenire la corruzione e i comportamenti non integri da parte dei collaboratori in occasione di lavoro;</w:t>
      </w:r>
    </w:p>
    <w:p w14:paraId="6820C1EE" w14:textId="77777777" w:rsidR="003A719B" w:rsidRDefault="00DF4CA4">
      <w:pPr>
        <w:pStyle w:val="Paragrafoelenco"/>
        <w:numPr>
          <w:ilvl w:val="0"/>
          <w:numId w:val="3"/>
        </w:numPr>
        <w:tabs>
          <w:tab w:val="left" w:pos="568"/>
        </w:tabs>
        <w:autoSpaceDE w:val="0"/>
        <w:spacing w:before="100"/>
        <w:ind w:left="284" w:hanging="284"/>
        <w:jc w:val="both"/>
      </w:pPr>
      <w:r>
        <w:rPr>
          <w:rFonts w:ascii="Arial" w:hAnsi="Arial" w:cs="Arial"/>
          <w:sz w:val="21"/>
          <w:szCs w:val="21"/>
        </w:rPr>
        <w:t>Monitoraggio delle azioni previste nel piano dell’anno 2019.</w:t>
      </w:r>
    </w:p>
    <w:p w14:paraId="4BBCC018" w14:textId="77777777" w:rsidR="003A719B" w:rsidRDefault="00DF4CA4">
      <w:pPr>
        <w:pStyle w:val="Standard"/>
        <w:tabs>
          <w:tab w:val="left" w:pos="447"/>
        </w:tabs>
        <w:autoSpaceDE w:val="0"/>
        <w:spacing w:before="100"/>
        <w:jc w:val="both"/>
        <w:rPr>
          <w:rFonts w:ascii="Arial" w:hAnsi="Arial" w:cs="Arial"/>
          <w:sz w:val="21"/>
          <w:szCs w:val="21"/>
        </w:rPr>
      </w:pPr>
      <w:r>
        <w:rPr>
          <w:rFonts w:ascii="Arial" w:hAnsi="Arial" w:cs="Arial"/>
          <w:sz w:val="21"/>
          <w:szCs w:val="21"/>
        </w:rPr>
        <w:t xml:space="preserve">Si assume che attraverso </w:t>
      </w:r>
      <w:r>
        <w:rPr>
          <w:rFonts w:ascii="Arial" w:hAnsi="Arial" w:cs="Arial"/>
          <w:sz w:val="21"/>
          <w:szCs w:val="21"/>
        </w:rPr>
        <w:t xml:space="preserve">l’introduzione e il potenziamento di regole generali di ordine procedurale, applicabili trasversalmente in tutti i settori, si potranno affrontare e risolvere anche criticità, disfunzioni e sovrapposizioni condizionanti la qualità e l'efficienza operativa </w:t>
      </w:r>
      <w:r>
        <w:rPr>
          <w:rFonts w:ascii="Arial" w:hAnsi="Arial" w:cs="Arial"/>
          <w:sz w:val="21"/>
          <w:szCs w:val="21"/>
        </w:rPr>
        <w:t>dell'Amministrazione.</w:t>
      </w:r>
    </w:p>
    <w:p w14:paraId="2322437E" w14:textId="77777777" w:rsidR="003A719B" w:rsidRDefault="003A719B">
      <w:pPr>
        <w:pStyle w:val="Standard"/>
        <w:tabs>
          <w:tab w:val="left" w:pos="447"/>
        </w:tabs>
        <w:autoSpaceDE w:val="0"/>
        <w:spacing w:before="100"/>
        <w:jc w:val="both"/>
        <w:rPr>
          <w:rFonts w:ascii="Arial" w:hAnsi="Arial" w:cs="Arial"/>
          <w:sz w:val="21"/>
          <w:szCs w:val="21"/>
        </w:rPr>
      </w:pPr>
    </w:p>
    <w:p w14:paraId="74840C64" w14:textId="77777777" w:rsidR="003A719B" w:rsidRDefault="00DF4CA4">
      <w:pPr>
        <w:pStyle w:val="Titolo1"/>
        <w:rPr>
          <w:sz w:val="24"/>
          <w:szCs w:val="24"/>
        </w:rPr>
      </w:pPr>
      <w:bookmarkStart w:id="10" w:name="__RefHeading___Toc1950_761212699"/>
      <w:r>
        <w:rPr>
          <w:sz w:val="24"/>
          <w:szCs w:val="24"/>
        </w:rPr>
        <w:t>6. LA FINALITA’ DEL PIANO</w:t>
      </w:r>
      <w:bookmarkEnd w:id="10"/>
    </w:p>
    <w:p w14:paraId="08DC4D72" w14:textId="77777777" w:rsidR="003A719B" w:rsidRDefault="00DF4CA4">
      <w:pPr>
        <w:pStyle w:val="Standard"/>
        <w:tabs>
          <w:tab w:val="left" w:pos="447"/>
        </w:tabs>
        <w:autoSpaceDE w:val="0"/>
        <w:spacing w:before="100"/>
        <w:jc w:val="both"/>
        <w:rPr>
          <w:rFonts w:ascii="Arial" w:hAnsi="Arial" w:cs="Arial"/>
          <w:sz w:val="21"/>
          <w:szCs w:val="21"/>
        </w:rPr>
      </w:pPr>
      <w:r>
        <w:rPr>
          <w:rFonts w:ascii="Arial" w:hAnsi="Arial" w:cs="Arial"/>
          <w:sz w:val="21"/>
          <w:szCs w:val="21"/>
        </w:rPr>
        <w:t>La finalità del presente Piano Anticorruzione è quello di proseguire con il monitoraggio di quanto già avviato a far data dal 2014 per la costruzione, all'interno dell'Amministrazione, di un sistema organico</w:t>
      </w:r>
      <w:r>
        <w:rPr>
          <w:rFonts w:ascii="Arial" w:hAnsi="Arial" w:cs="Arial"/>
          <w:sz w:val="21"/>
          <w:szCs w:val="21"/>
        </w:rPr>
        <w:t xml:space="preserve"> di strumenti per la prevenzione della corruzione.</w:t>
      </w:r>
    </w:p>
    <w:p w14:paraId="0693BE4C" w14:textId="77777777" w:rsidR="003A719B" w:rsidRDefault="00DF4CA4">
      <w:pPr>
        <w:pStyle w:val="Standard"/>
        <w:tabs>
          <w:tab w:val="left" w:pos="447"/>
        </w:tabs>
        <w:autoSpaceDE w:val="0"/>
        <w:spacing w:before="100"/>
        <w:jc w:val="both"/>
        <w:rPr>
          <w:rFonts w:ascii="Arial" w:hAnsi="Arial" w:cs="Arial"/>
          <w:sz w:val="21"/>
          <w:szCs w:val="21"/>
        </w:rPr>
      </w:pPr>
      <w:r>
        <w:rPr>
          <w:rFonts w:ascii="Arial" w:hAnsi="Arial" w:cs="Arial"/>
          <w:sz w:val="21"/>
          <w:szCs w:val="21"/>
        </w:rPr>
        <w:t>Tale prevenzione non è indirizzata esclusivamente alle fattispecie di reato previste dal Codice Penale, ma anche a quelle situazioni di rilevanza non criminale, ma comunque atte a evidenziare una disfunzio</w:t>
      </w:r>
      <w:r>
        <w:rPr>
          <w:rFonts w:ascii="Arial" w:hAnsi="Arial" w:cs="Arial"/>
          <w:sz w:val="21"/>
          <w:szCs w:val="21"/>
        </w:rPr>
        <w:t>ne della Pubblica Amministrazione dovuta all'utilizzo delle funzioni attribuite non per il perseguimento dell'interesse collettivo, bensì di quello privato.</w:t>
      </w:r>
    </w:p>
    <w:p w14:paraId="6CF81FB5" w14:textId="77777777" w:rsidR="003A719B" w:rsidRDefault="00DF4CA4">
      <w:pPr>
        <w:pStyle w:val="Standard"/>
        <w:tabs>
          <w:tab w:val="left" w:pos="447"/>
        </w:tabs>
        <w:autoSpaceDE w:val="0"/>
        <w:spacing w:before="100"/>
        <w:jc w:val="both"/>
      </w:pPr>
      <w:r>
        <w:rPr>
          <w:rFonts w:ascii="Arial" w:hAnsi="Arial" w:cs="Arial"/>
          <w:sz w:val="21"/>
          <w:szCs w:val="21"/>
        </w:rPr>
        <w:t xml:space="preserve">Come declinato anche dal Piano Nazionale Anticorruzione del 2013 e nei successivi aggiornamenti, i </w:t>
      </w:r>
      <w:r>
        <w:rPr>
          <w:rFonts w:ascii="Arial" w:hAnsi="Arial" w:cs="Arial"/>
          <w:sz w:val="21"/>
          <w:szCs w:val="21"/>
        </w:rPr>
        <w:t>principali obiettivi da perseguire, attraverso idonei interventi, sono:</w:t>
      </w:r>
    </w:p>
    <w:p w14:paraId="05E54224" w14:textId="77777777" w:rsidR="003A719B" w:rsidRDefault="00DF4CA4">
      <w:pPr>
        <w:pStyle w:val="Standard"/>
        <w:tabs>
          <w:tab w:val="left" w:pos="447"/>
        </w:tabs>
        <w:autoSpaceDE w:val="0"/>
        <w:jc w:val="both"/>
      </w:pP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ridurre le opportunità che si manifestino casi di corruzione;</w:t>
      </w:r>
    </w:p>
    <w:p w14:paraId="47271B65" w14:textId="77777777" w:rsidR="003A719B" w:rsidRDefault="00DF4CA4">
      <w:pPr>
        <w:pStyle w:val="Standard"/>
        <w:tabs>
          <w:tab w:val="left" w:pos="447"/>
        </w:tabs>
        <w:autoSpaceDE w:val="0"/>
        <w:jc w:val="both"/>
      </w:pP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aumentare la capacità di scoprire casi di corruzione;</w:t>
      </w:r>
    </w:p>
    <w:p w14:paraId="4252D3FF" w14:textId="77777777" w:rsidR="003A719B" w:rsidRDefault="00DF4CA4">
      <w:pPr>
        <w:pStyle w:val="Standard"/>
        <w:tabs>
          <w:tab w:val="left" w:pos="447"/>
        </w:tabs>
        <w:autoSpaceDE w:val="0"/>
        <w:jc w:val="both"/>
      </w:pP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creare un contesto sfavorevole alla corruzione.</w:t>
      </w:r>
    </w:p>
    <w:p w14:paraId="7E9BC376" w14:textId="77777777" w:rsidR="003A719B" w:rsidRDefault="003A719B">
      <w:pPr>
        <w:pStyle w:val="Standard"/>
        <w:rPr>
          <w:rFonts w:ascii="Arial" w:hAnsi="Arial" w:cs="Arial"/>
          <w:sz w:val="21"/>
          <w:szCs w:val="21"/>
        </w:rPr>
      </w:pPr>
    </w:p>
    <w:p w14:paraId="38A6804D" w14:textId="77777777" w:rsidR="003A719B" w:rsidRDefault="00DF4CA4">
      <w:pPr>
        <w:pStyle w:val="Titolo1"/>
        <w:rPr>
          <w:sz w:val="24"/>
          <w:szCs w:val="24"/>
        </w:rPr>
      </w:pPr>
      <w:bookmarkStart w:id="11" w:name="__RefHeading___Toc1952_761212699"/>
      <w:r>
        <w:rPr>
          <w:sz w:val="24"/>
          <w:szCs w:val="24"/>
        </w:rPr>
        <w:lastRenderedPageBreak/>
        <w:t>7. L’APPROCCI</w:t>
      </w:r>
      <w:r>
        <w:rPr>
          <w:sz w:val="24"/>
          <w:szCs w:val="24"/>
        </w:rPr>
        <w:t>O METODOLOGICO ADOTTATO PER LA COSTRUZIONE DEL PIANO</w:t>
      </w:r>
      <w:bookmarkEnd w:id="11"/>
    </w:p>
    <w:p w14:paraId="6694DC51" w14:textId="77777777" w:rsidR="003A719B" w:rsidRDefault="00DF4CA4">
      <w:pPr>
        <w:pStyle w:val="Standard"/>
        <w:spacing w:before="100"/>
        <w:jc w:val="both"/>
        <w:rPr>
          <w:rFonts w:ascii="Arial" w:hAnsi="Arial" w:cs="Arial"/>
          <w:sz w:val="21"/>
          <w:szCs w:val="21"/>
        </w:rPr>
      </w:pPr>
      <w:r>
        <w:rPr>
          <w:rFonts w:ascii="Arial" w:hAnsi="Arial" w:cs="Arial"/>
          <w:sz w:val="21"/>
          <w:szCs w:val="21"/>
        </w:rPr>
        <w:t>Obiettivo primario del Piano di prevenzione della corruzione è garantire nel tempo all’Amministrazione Comunale, attraverso un sistema di controlli preventivi e di misure organizzative, il presidio del p</w:t>
      </w:r>
      <w:r>
        <w:rPr>
          <w:rFonts w:ascii="Arial" w:hAnsi="Arial" w:cs="Arial"/>
          <w:sz w:val="21"/>
          <w:szCs w:val="21"/>
        </w:rPr>
        <w:t>rocesso di monitoraggio e di verifica sull'integrità delle azioni e dei comportamenti del personale.</w:t>
      </w:r>
    </w:p>
    <w:p w14:paraId="77D5012A" w14:textId="77777777" w:rsidR="003A719B" w:rsidRDefault="00DF4CA4">
      <w:pPr>
        <w:pStyle w:val="Standard"/>
        <w:spacing w:before="100"/>
        <w:jc w:val="both"/>
        <w:rPr>
          <w:rFonts w:ascii="Arial" w:hAnsi="Arial" w:cs="Arial"/>
          <w:sz w:val="21"/>
          <w:szCs w:val="21"/>
        </w:rPr>
      </w:pPr>
      <w:r>
        <w:rPr>
          <w:rFonts w:ascii="Arial" w:hAnsi="Arial" w:cs="Arial"/>
          <w:sz w:val="21"/>
          <w:szCs w:val="21"/>
        </w:rPr>
        <w:t>Ciò consente da un lato la prevenzione dei rischi per danni all'immagine derivanti da comportamenti scorretti o illegali del personale, dall’altro di rende</w:t>
      </w:r>
      <w:r>
        <w:rPr>
          <w:rFonts w:ascii="Arial" w:hAnsi="Arial" w:cs="Arial"/>
          <w:sz w:val="21"/>
          <w:szCs w:val="21"/>
        </w:rPr>
        <w:t>re il complesso delle azioni sviluppate efficace anche a presidio della corretta gestione dell’ente.</w:t>
      </w:r>
    </w:p>
    <w:p w14:paraId="419A9E1F" w14:textId="77777777" w:rsidR="003A719B" w:rsidRDefault="00DF4CA4">
      <w:pPr>
        <w:pStyle w:val="Standard"/>
        <w:spacing w:before="100"/>
        <w:jc w:val="both"/>
      </w:pPr>
      <w:r>
        <w:rPr>
          <w:rFonts w:ascii="Arial" w:hAnsi="Arial" w:cs="Arial"/>
          <w:sz w:val="21"/>
          <w:szCs w:val="21"/>
        </w:rPr>
        <w:t xml:space="preserve">La </w:t>
      </w:r>
      <w:r>
        <w:rPr>
          <w:rFonts w:ascii="Arial" w:hAnsi="Arial" w:cs="Arial"/>
          <w:bCs/>
          <w:sz w:val="21"/>
          <w:szCs w:val="21"/>
        </w:rPr>
        <w:t>metodologia adottata</w:t>
      </w:r>
      <w:r>
        <w:rPr>
          <w:rFonts w:ascii="Arial" w:hAnsi="Arial" w:cs="Arial"/>
          <w:sz w:val="21"/>
          <w:szCs w:val="21"/>
        </w:rPr>
        <w:t xml:space="preserve"> nella stesura del Piano si rifà a due approcci considerati di eccellenza negli ambiti organizzativi che già hanno </w:t>
      </w:r>
      <w:r>
        <w:rPr>
          <w:rFonts w:ascii="Arial" w:hAnsi="Arial" w:cs="Arial"/>
          <w:sz w:val="21"/>
          <w:szCs w:val="21"/>
        </w:rPr>
        <w:t>efficacemente affrontato tali problematiche:</w:t>
      </w:r>
    </w:p>
    <w:p w14:paraId="63B0DA76" w14:textId="77777777" w:rsidR="003A719B" w:rsidRDefault="00DF4CA4">
      <w:pPr>
        <w:pStyle w:val="Standard"/>
        <w:numPr>
          <w:ilvl w:val="0"/>
          <w:numId w:val="22"/>
        </w:numPr>
        <w:tabs>
          <w:tab w:val="left" w:pos="568"/>
        </w:tabs>
        <w:spacing w:before="100"/>
        <w:ind w:left="284" w:hanging="284"/>
        <w:jc w:val="both"/>
      </w:pPr>
      <w:r>
        <w:rPr>
          <w:rFonts w:ascii="Arial" w:hAnsi="Arial" w:cs="Arial"/>
          <w:b/>
          <w:bCs/>
          <w:sz w:val="21"/>
          <w:szCs w:val="21"/>
        </w:rPr>
        <w:t>L’approccio dei sistemi normati</w:t>
      </w:r>
      <w:r>
        <w:rPr>
          <w:rFonts w:ascii="Arial" w:hAnsi="Arial" w:cs="Arial"/>
          <w:sz w:val="21"/>
          <w:szCs w:val="21"/>
        </w:rPr>
        <w:t xml:space="preserve">, che si fonda sul </w:t>
      </w:r>
      <w:r>
        <w:rPr>
          <w:rFonts w:ascii="Arial" w:hAnsi="Arial" w:cs="Arial"/>
          <w:b/>
          <w:bCs/>
          <w:sz w:val="21"/>
          <w:szCs w:val="21"/>
        </w:rPr>
        <w:t>principio di documentabilità delle attività svolte</w:t>
      </w:r>
      <w:r>
        <w:rPr>
          <w:rFonts w:ascii="Arial" w:hAnsi="Arial" w:cs="Arial"/>
          <w:sz w:val="21"/>
          <w:szCs w:val="21"/>
        </w:rPr>
        <w:t>, per cui, in ogni processo, le operazioni e le azioni devono essere verificabili in termini di coerenza e cong</w:t>
      </w:r>
      <w:r>
        <w:rPr>
          <w:rFonts w:ascii="Arial" w:hAnsi="Arial" w:cs="Arial"/>
          <w:sz w:val="21"/>
          <w:szCs w:val="21"/>
        </w:rPr>
        <w:t xml:space="preserve">ruità, in modo che sia sempre attestata la responsabilità della progettazione delle attività, della validazione, dell’autorizzazione, dell’effettuazione; e sul </w:t>
      </w:r>
      <w:r>
        <w:rPr>
          <w:rFonts w:ascii="Arial" w:hAnsi="Arial" w:cs="Arial"/>
          <w:b/>
          <w:bCs/>
          <w:sz w:val="21"/>
          <w:szCs w:val="21"/>
        </w:rPr>
        <w:t>principio di documentabilità dei controlli</w:t>
      </w:r>
      <w:r>
        <w:rPr>
          <w:rFonts w:ascii="Arial" w:hAnsi="Arial" w:cs="Arial"/>
          <w:sz w:val="21"/>
          <w:szCs w:val="21"/>
        </w:rPr>
        <w:t>, per cui ogni attività di supervisione o controllo de</w:t>
      </w:r>
      <w:r>
        <w:rPr>
          <w:rFonts w:ascii="Arial" w:hAnsi="Arial" w:cs="Arial"/>
          <w:sz w:val="21"/>
          <w:szCs w:val="21"/>
        </w:rPr>
        <w:t>ve essere documentata e firmata da chi ne ha la responsabilità. In coerenza con tali principi, sono da formalizzare procedure, Check-list, criteri e altri strumenti gestionali in grado di garantire omogeneità, oltre che trasparenza e equità;</w:t>
      </w:r>
    </w:p>
    <w:p w14:paraId="12B9BA7C" w14:textId="77777777" w:rsidR="003A719B" w:rsidRDefault="00DF4CA4">
      <w:pPr>
        <w:pStyle w:val="Standard"/>
        <w:numPr>
          <w:ilvl w:val="0"/>
          <w:numId w:val="4"/>
        </w:numPr>
        <w:tabs>
          <w:tab w:val="left" w:pos="568"/>
        </w:tabs>
        <w:spacing w:before="100"/>
        <w:ind w:left="284" w:hanging="284"/>
        <w:jc w:val="both"/>
      </w:pPr>
      <w:r>
        <w:rPr>
          <w:rFonts w:ascii="Arial" w:hAnsi="Arial" w:cs="Arial"/>
          <w:b/>
          <w:bCs/>
          <w:sz w:val="21"/>
          <w:szCs w:val="21"/>
        </w:rPr>
        <w:t>L’approccio</w:t>
      </w:r>
      <w:r>
        <w:rPr>
          <w:rFonts w:ascii="Arial" w:hAnsi="Arial" w:cs="Arial"/>
          <w:sz w:val="21"/>
          <w:szCs w:val="21"/>
        </w:rPr>
        <w:t xml:space="preserve"> </w:t>
      </w:r>
      <w:r>
        <w:rPr>
          <w:rFonts w:ascii="Arial" w:hAnsi="Arial" w:cs="Arial"/>
          <w:b/>
          <w:bCs/>
          <w:sz w:val="21"/>
          <w:szCs w:val="21"/>
        </w:rPr>
        <w:t>mu</w:t>
      </w:r>
      <w:r>
        <w:rPr>
          <w:rFonts w:ascii="Arial" w:hAnsi="Arial" w:cs="Arial"/>
          <w:b/>
          <w:bCs/>
          <w:sz w:val="21"/>
          <w:szCs w:val="21"/>
        </w:rPr>
        <w:t>tuato dal D.lgs. 231/2001</w:t>
      </w:r>
      <w:r>
        <w:rPr>
          <w:rFonts w:ascii="Arial" w:hAnsi="Arial" w:cs="Arial"/>
          <w:sz w:val="21"/>
          <w:szCs w:val="21"/>
        </w:rPr>
        <w:t xml:space="preserve"> – con le dovute contestualizzazioni e senza che sia imposto dal decreto stesso nell’ambito pubblico - che prevede che l’ente </w:t>
      </w:r>
      <w:r>
        <w:rPr>
          <w:rFonts w:ascii="Arial" w:hAnsi="Arial" w:cs="Arial"/>
          <w:b/>
          <w:sz w:val="21"/>
          <w:szCs w:val="21"/>
        </w:rPr>
        <w:t>non sia responsabile</w:t>
      </w:r>
      <w:r>
        <w:rPr>
          <w:rFonts w:ascii="Arial" w:hAnsi="Arial" w:cs="Arial"/>
          <w:sz w:val="21"/>
          <w:szCs w:val="21"/>
        </w:rPr>
        <w:t xml:space="preserve"> per i reati commessi (anche nel suo interesse o a suo vantaggio) se sono soddisfatte</w:t>
      </w:r>
      <w:r>
        <w:rPr>
          <w:rFonts w:ascii="Arial" w:hAnsi="Arial" w:cs="Arial"/>
          <w:sz w:val="21"/>
          <w:szCs w:val="21"/>
        </w:rPr>
        <w:t xml:space="preserve"> le seguenti condizioni:</w:t>
      </w:r>
    </w:p>
    <w:p w14:paraId="7A33E3CF" w14:textId="77777777" w:rsidR="003A719B" w:rsidRDefault="00DF4CA4">
      <w:pPr>
        <w:pStyle w:val="Standard"/>
        <w:numPr>
          <w:ilvl w:val="0"/>
          <w:numId w:val="23"/>
        </w:numPr>
        <w:spacing w:before="100"/>
        <w:ind w:left="709" w:hanging="425"/>
        <w:jc w:val="both"/>
      </w:pPr>
      <w:r>
        <w:rPr>
          <w:rFonts w:ascii="Arial" w:hAnsi="Arial" w:cs="Arial"/>
          <w:sz w:val="21"/>
          <w:szCs w:val="21"/>
        </w:rPr>
        <w:t xml:space="preserve">Se prova che l’organo dirigente ha adottato ed efficacemente attuato, prima della commissione del fatto, </w:t>
      </w:r>
      <w:r>
        <w:rPr>
          <w:rFonts w:ascii="Arial" w:hAnsi="Arial" w:cs="Arial"/>
          <w:b/>
          <w:bCs/>
          <w:sz w:val="21"/>
          <w:szCs w:val="21"/>
        </w:rPr>
        <w:t xml:space="preserve">modelli di organizzazione e di gestione idonei a prevenire reati </w:t>
      </w:r>
      <w:r>
        <w:rPr>
          <w:rFonts w:ascii="Arial" w:hAnsi="Arial" w:cs="Arial"/>
          <w:sz w:val="21"/>
          <w:szCs w:val="21"/>
        </w:rPr>
        <w:t>della specie di quello verificatosi;</w:t>
      </w:r>
    </w:p>
    <w:p w14:paraId="33B78851" w14:textId="77777777" w:rsidR="003A719B" w:rsidRDefault="00DF4CA4">
      <w:pPr>
        <w:pStyle w:val="Standard"/>
        <w:numPr>
          <w:ilvl w:val="0"/>
          <w:numId w:val="5"/>
        </w:numPr>
        <w:spacing w:before="100"/>
        <w:ind w:left="709" w:hanging="425"/>
        <w:jc w:val="both"/>
        <w:rPr>
          <w:rFonts w:ascii="Arial" w:hAnsi="Arial" w:cs="Arial"/>
          <w:sz w:val="21"/>
          <w:szCs w:val="21"/>
        </w:rPr>
      </w:pPr>
      <w:r>
        <w:rPr>
          <w:rFonts w:ascii="Arial" w:hAnsi="Arial" w:cs="Arial"/>
          <w:sz w:val="21"/>
          <w:szCs w:val="21"/>
        </w:rPr>
        <w:t xml:space="preserve">Se il compito di </w:t>
      </w:r>
      <w:r>
        <w:rPr>
          <w:rFonts w:ascii="Arial" w:hAnsi="Arial" w:cs="Arial"/>
          <w:sz w:val="21"/>
          <w:szCs w:val="21"/>
        </w:rPr>
        <w:t>vigilare sul funzionamento e l’osservanza dei modelli e di curare il loro aggiornamento è stato affidato a un organismo dell’ente dotato di autonomi poteri di iniziativa e di controllo;</w:t>
      </w:r>
    </w:p>
    <w:p w14:paraId="22F558AE" w14:textId="77777777" w:rsidR="003A719B" w:rsidRDefault="00DF4CA4">
      <w:pPr>
        <w:pStyle w:val="Standard"/>
        <w:numPr>
          <w:ilvl w:val="0"/>
          <w:numId w:val="5"/>
        </w:numPr>
        <w:spacing w:before="100"/>
        <w:ind w:left="709" w:hanging="425"/>
        <w:jc w:val="both"/>
        <w:rPr>
          <w:rFonts w:ascii="Arial" w:hAnsi="Arial" w:cs="Arial"/>
          <w:sz w:val="21"/>
          <w:szCs w:val="21"/>
        </w:rPr>
      </w:pPr>
      <w:r>
        <w:rPr>
          <w:rFonts w:ascii="Arial" w:hAnsi="Arial" w:cs="Arial"/>
          <w:sz w:val="21"/>
          <w:szCs w:val="21"/>
        </w:rPr>
        <w:t>Se non vi è stata omessa o insufficiente vigilanza da parte dell’organ</w:t>
      </w:r>
      <w:r>
        <w:rPr>
          <w:rFonts w:ascii="Arial" w:hAnsi="Arial" w:cs="Arial"/>
          <w:sz w:val="21"/>
          <w:szCs w:val="21"/>
        </w:rPr>
        <w:t>ismo.</w:t>
      </w:r>
    </w:p>
    <w:p w14:paraId="3957C91A" w14:textId="77777777" w:rsidR="003A719B" w:rsidRDefault="00DF4CA4">
      <w:pPr>
        <w:pStyle w:val="Standard"/>
        <w:spacing w:before="120"/>
        <w:jc w:val="both"/>
      </w:pPr>
      <w:r>
        <w:rPr>
          <w:rFonts w:ascii="Arial" w:hAnsi="Arial" w:cs="Arial"/>
          <w:sz w:val="21"/>
          <w:szCs w:val="21"/>
        </w:rPr>
        <w:t>Detti approcci, pur nel necessario adattamento, sono in linea con i Piani Nazionali Anticorruzione succedutisi nel tempo.</w:t>
      </w:r>
    </w:p>
    <w:p w14:paraId="77CAC5A1" w14:textId="77777777" w:rsidR="003A719B" w:rsidRDefault="003A719B">
      <w:pPr>
        <w:pStyle w:val="Default"/>
        <w:spacing w:before="100" w:after="0" w:line="240" w:lineRule="auto"/>
        <w:rPr>
          <w:rFonts w:ascii="Arial" w:hAnsi="Arial" w:cs="Arial"/>
          <w:sz w:val="21"/>
          <w:szCs w:val="21"/>
        </w:rPr>
      </w:pPr>
    </w:p>
    <w:p w14:paraId="390CB3DD" w14:textId="77777777" w:rsidR="003A719B" w:rsidRDefault="00DF4CA4">
      <w:pPr>
        <w:pStyle w:val="Titolo1"/>
        <w:rPr>
          <w:sz w:val="24"/>
          <w:szCs w:val="24"/>
        </w:rPr>
      </w:pPr>
      <w:bookmarkStart w:id="12" w:name="__RefHeading___Toc1954_761212699"/>
      <w:r>
        <w:rPr>
          <w:sz w:val="24"/>
          <w:szCs w:val="24"/>
        </w:rPr>
        <w:t>8. IL PERCORSO DI COSTRUZIONE DEL PIANO</w:t>
      </w:r>
      <w:bookmarkEnd w:id="12"/>
    </w:p>
    <w:p w14:paraId="375D0139" w14:textId="77777777" w:rsidR="003A719B" w:rsidRDefault="00DF4CA4">
      <w:pPr>
        <w:pStyle w:val="Titolo2"/>
        <w:rPr>
          <w:i w:val="0"/>
          <w:sz w:val="21"/>
          <w:szCs w:val="21"/>
        </w:rPr>
      </w:pPr>
      <w:bookmarkStart w:id="13" w:name="__RefHeading___Toc1956_761212699"/>
      <w:r>
        <w:rPr>
          <w:i w:val="0"/>
          <w:sz w:val="21"/>
          <w:szCs w:val="21"/>
        </w:rPr>
        <w:t>8.1 GLI ASPETTI PRESI IN CONSIDERAZIONE</w:t>
      </w:r>
      <w:bookmarkEnd w:id="13"/>
    </w:p>
    <w:p w14:paraId="0604BCAE"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t>Nel percorso di costruzione del Piano, accompag</w:t>
      </w:r>
      <w:r>
        <w:rPr>
          <w:rFonts w:ascii="Arial" w:hAnsi="Arial" w:cs="Arial"/>
          <w:sz w:val="21"/>
          <w:szCs w:val="21"/>
        </w:rPr>
        <w:t xml:space="preserve">nato dall’intervento di formazione-azione promosso dal Consorzio dei Comuni Trentini, sono stati tenuti in considerazione cinque aspetti espressamente citati dalle Linee di indirizzo del Comitato interministeriale del marzo 2013 e riconfermati dal PNA del </w:t>
      </w:r>
      <w:r>
        <w:rPr>
          <w:rFonts w:ascii="Arial" w:hAnsi="Arial" w:cs="Arial"/>
          <w:sz w:val="21"/>
          <w:szCs w:val="21"/>
        </w:rPr>
        <w:t>11 settembre 2013 e successivi aggiornamenti:</w:t>
      </w:r>
    </w:p>
    <w:p w14:paraId="7EC711EF" w14:textId="77777777" w:rsidR="003A719B" w:rsidRDefault="00DF4CA4">
      <w:pPr>
        <w:pStyle w:val="Default"/>
        <w:numPr>
          <w:ilvl w:val="0"/>
          <w:numId w:val="24"/>
        </w:numPr>
        <w:spacing w:before="100" w:after="0" w:line="240" w:lineRule="auto"/>
      </w:pPr>
      <w:r>
        <w:rPr>
          <w:rFonts w:ascii="Arial" w:hAnsi="Arial" w:cs="Arial"/>
          <w:sz w:val="21"/>
          <w:szCs w:val="21"/>
        </w:rPr>
        <w:t xml:space="preserve">il </w:t>
      </w:r>
      <w:r>
        <w:rPr>
          <w:rFonts w:ascii="Arial" w:hAnsi="Arial" w:cs="Arial"/>
          <w:b/>
          <w:sz w:val="21"/>
          <w:szCs w:val="21"/>
        </w:rPr>
        <w:t>coinvolgimento dei Responsabili operanti nelle aree a più elevato rischio</w:t>
      </w:r>
      <w:r>
        <w:rPr>
          <w:rFonts w:ascii="Arial" w:hAnsi="Arial" w:cs="Arial"/>
          <w:sz w:val="21"/>
          <w:szCs w:val="21"/>
        </w:rPr>
        <w:t xml:space="preserve"> nell’attività di analisi e valutazione, di proposta e definizione delle misure e di monitoraggio per l’implementazione del Piano; tal</w:t>
      </w:r>
      <w:r>
        <w:rPr>
          <w:rFonts w:ascii="Arial" w:hAnsi="Arial" w:cs="Arial"/>
          <w:sz w:val="21"/>
          <w:szCs w:val="21"/>
        </w:rPr>
        <w:t>e attività – che non sostituisce ma integra la opportuna formazione rispetto alle finalità e agli strumenti dal Piano stesso - è stata il punto di partenza per la definizione di azioni preventive efficaci rispetto alle reali esigenze dell’amministrazione;</w:t>
      </w:r>
    </w:p>
    <w:p w14:paraId="3607FCE7" w14:textId="77777777" w:rsidR="003A719B" w:rsidRDefault="00DF4CA4">
      <w:pPr>
        <w:pStyle w:val="Default"/>
        <w:numPr>
          <w:ilvl w:val="0"/>
          <w:numId w:val="6"/>
        </w:numPr>
        <w:spacing w:before="100" w:after="0" w:line="240" w:lineRule="auto"/>
      </w:pPr>
      <w:r>
        <w:rPr>
          <w:rFonts w:ascii="Arial" w:hAnsi="Arial" w:cs="Arial"/>
          <w:sz w:val="21"/>
          <w:szCs w:val="21"/>
        </w:rPr>
        <w:t xml:space="preserve">la </w:t>
      </w:r>
      <w:r>
        <w:rPr>
          <w:rFonts w:ascii="Arial" w:hAnsi="Arial" w:cs="Arial"/>
          <w:b/>
          <w:sz w:val="21"/>
          <w:szCs w:val="21"/>
        </w:rPr>
        <w:t>rilevazione delle misure di contrasto</w:t>
      </w:r>
      <w:r>
        <w:rPr>
          <w:rFonts w:ascii="Arial" w:hAnsi="Arial" w:cs="Arial"/>
          <w:sz w:val="21"/>
          <w:szCs w:val="21"/>
        </w:rPr>
        <w:t xml:space="preserve"> (procedimenti a disciplina rinforzata, controlli specifici, particolari valutazioni ex post dei risultati raggiunti, particolari misure nell’organizzazione degli uffici e nella gestione del personale addetto, partic</w:t>
      </w:r>
      <w:r>
        <w:rPr>
          <w:rFonts w:ascii="Arial" w:hAnsi="Arial" w:cs="Arial"/>
          <w:sz w:val="21"/>
          <w:szCs w:val="21"/>
        </w:rPr>
        <w:t>olari misure di trasparenza sulle attività svolte) anche già adottate, oltre alla indicazione delle misure che, attualmente non presenti, si prevede di adottare in futuro. Si è in tal modo costruito un Piano che, valorizzando il percorso virtuoso già intra</w:t>
      </w:r>
      <w:r>
        <w:rPr>
          <w:rFonts w:ascii="Arial" w:hAnsi="Arial" w:cs="Arial"/>
          <w:sz w:val="21"/>
          <w:szCs w:val="21"/>
        </w:rPr>
        <w:t>preso dall’Amministrazione, mette a sistema quanto già positivamente sperimentato purché coerente con le finalità del Piano;</w:t>
      </w:r>
    </w:p>
    <w:p w14:paraId="6B7E0627" w14:textId="77777777" w:rsidR="003A719B" w:rsidRDefault="00DF4CA4">
      <w:pPr>
        <w:pStyle w:val="Default"/>
        <w:numPr>
          <w:ilvl w:val="0"/>
          <w:numId w:val="6"/>
        </w:numPr>
        <w:spacing w:before="100" w:after="0" w:line="240" w:lineRule="auto"/>
        <w:rPr>
          <w:rFonts w:ascii="Arial" w:hAnsi="Arial" w:cs="Arial"/>
          <w:sz w:val="21"/>
          <w:szCs w:val="21"/>
        </w:rPr>
      </w:pPr>
      <w:r>
        <w:rPr>
          <w:rFonts w:ascii="Arial" w:hAnsi="Arial" w:cs="Arial"/>
          <w:sz w:val="21"/>
          <w:szCs w:val="21"/>
        </w:rPr>
        <w:t>l’impegno all’apertura di un tavolo di confronto con i portatori di interessi sui contenuti delle misure adottate nelle aree a magg</w:t>
      </w:r>
      <w:r>
        <w:rPr>
          <w:rFonts w:ascii="Arial" w:hAnsi="Arial" w:cs="Arial"/>
          <w:sz w:val="21"/>
          <w:szCs w:val="21"/>
        </w:rPr>
        <w:t>ior rischio di comportamenti non integri, per poter arricchire l’approccio con l’essenziale punto di vista dei fruitori dei servizi del Comune, e nel contempo rendere consapevoli gli interessati degli sforzi messi in campo dall’organizzazione per rafforzar</w:t>
      </w:r>
      <w:r>
        <w:rPr>
          <w:rFonts w:ascii="Arial" w:hAnsi="Arial" w:cs="Arial"/>
          <w:sz w:val="21"/>
          <w:szCs w:val="21"/>
        </w:rPr>
        <w:t>e e sostenere l’integrità e trasparenza dei comportamenti dei suoi operatori a tutti i livelli;</w:t>
      </w:r>
    </w:p>
    <w:p w14:paraId="5CBEF702" w14:textId="77777777" w:rsidR="003A719B" w:rsidRDefault="00DF4CA4">
      <w:pPr>
        <w:pStyle w:val="Default"/>
        <w:numPr>
          <w:ilvl w:val="0"/>
          <w:numId w:val="6"/>
        </w:numPr>
        <w:spacing w:before="100" w:after="0" w:line="240" w:lineRule="auto"/>
      </w:pPr>
      <w:r>
        <w:rPr>
          <w:rFonts w:ascii="Arial" w:hAnsi="Arial" w:cs="Arial"/>
          <w:sz w:val="21"/>
          <w:szCs w:val="21"/>
        </w:rPr>
        <w:lastRenderedPageBreak/>
        <w:t xml:space="preserve">la </w:t>
      </w:r>
      <w:r>
        <w:rPr>
          <w:rFonts w:ascii="Arial" w:hAnsi="Arial" w:cs="Arial"/>
          <w:b/>
          <w:sz w:val="21"/>
          <w:szCs w:val="21"/>
        </w:rPr>
        <w:t>sinergia</w:t>
      </w:r>
      <w:r>
        <w:rPr>
          <w:rFonts w:ascii="Arial" w:hAnsi="Arial" w:cs="Arial"/>
          <w:sz w:val="21"/>
          <w:szCs w:val="21"/>
        </w:rPr>
        <w:t xml:space="preserve"> con quanto già realizzato o in progettazione nell’ambito della trasparenza, ivi compresi:</w:t>
      </w:r>
    </w:p>
    <w:p w14:paraId="2516F6D9" w14:textId="77777777" w:rsidR="003A719B" w:rsidRDefault="00DF4CA4">
      <w:pPr>
        <w:pStyle w:val="Default"/>
        <w:numPr>
          <w:ilvl w:val="0"/>
          <w:numId w:val="25"/>
        </w:numPr>
        <w:spacing w:after="0" w:line="240" w:lineRule="auto"/>
        <w:ind w:left="1066" w:hanging="357"/>
        <w:rPr>
          <w:rFonts w:ascii="Arial" w:hAnsi="Arial" w:cs="Arial"/>
          <w:sz w:val="21"/>
          <w:szCs w:val="21"/>
        </w:rPr>
      </w:pPr>
      <w:r>
        <w:rPr>
          <w:rFonts w:ascii="Arial" w:hAnsi="Arial" w:cs="Arial"/>
          <w:sz w:val="21"/>
          <w:szCs w:val="21"/>
        </w:rPr>
        <w:t>l’attivazione del sistema di trasmissione delle informazio</w:t>
      </w:r>
      <w:r>
        <w:rPr>
          <w:rFonts w:ascii="Arial" w:hAnsi="Arial" w:cs="Arial"/>
          <w:sz w:val="21"/>
          <w:szCs w:val="21"/>
        </w:rPr>
        <w:t>ni al sito web dell’amministrazione;</w:t>
      </w:r>
    </w:p>
    <w:p w14:paraId="7D08A49E" w14:textId="77777777" w:rsidR="003A719B" w:rsidRDefault="00DF4CA4">
      <w:pPr>
        <w:pStyle w:val="Default"/>
        <w:numPr>
          <w:ilvl w:val="0"/>
          <w:numId w:val="7"/>
        </w:numPr>
        <w:spacing w:after="0" w:line="240" w:lineRule="auto"/>
        <w:ind w:left="1066" w:hanging="357"/>
        <w:rPr>
          <w:rFonts w:ascii="Arial" w:hAnsi="Arial" w:cs="Arial"/>
          <w:sz w:val="21"/>
          <w:szCs w:val="21"/>
        </w:rPr>
      </w:pPr>
      <w:r>
        <w:rPr>
          <w:rFonts w:ascii="Arial" w:hAnsi="Arial" w:cs="Arial"/>
          <w:sz w:val="21"/>
          <w:szCs w:val="21"/>
        </w:rPr>
        <w:t>l’attivazione del diritto di accesso civico di cui al citato D.lgs. n.33/2013, così come è stato previsto dalla legge regionale 10/2014 in tema di trasparenza, in attesa del recepimento, a livello regionale, del nuovo i</w:t>
      </w:r>
      <w:r>
        <w:rPr>
          <w:rFonts w:ascii="Arial" w:hAnsi="Arial" w:cs="Arial"/>
          <w:sz w:val="21"/>
          <w:szCs w:val="21"/>
        </w:rPr>
        <w:t>stituto dell’accesso civico generalizzato introdotto con il d.lgs. 97/2016 (cd FOIA);</w:t>
      </w:r>
    </w:p>
    <w:p w14:paraId="4FA02DAB" w14:textId="77777777" w:rsidR="003A719B" w:rsidRDefault="00DF4CA4">
      <w:pPr>
        <w:pStyle w:val="Default"/>
        <w:numPr>
          <w:ilvl w:val="0"/>
          <w:numId w:val="26"/>
        </w:numPr>
        <w:spacing w:before="100" w:after="0" w:line="240" w:lineRule="auto"/>
      </w:pPr>
      <w:r>
        <w:rPr>
          <w:rFonts w:ascii="Arial" w:hAnsi="Arial" w:cs="Arial"/>
          <w:sz w:val="21"/>
          <w:szCs w:val="21"/>
        </w:rPr>
        <w:t xml:space="preserve">la previsione e l’adozione di </w:t>
      </w:r>
      <w:r>
        <w:rPr>
          <w:rFonts w:ascii="Arial" w:hAnsi="Arial" w:cs="Arial"/>
          <w:b/>
          <w:sz w:val="21"/>
          <w:szCs w:val="21"/>
        </w:rPr>
        <w:t>specifiche attività di formazione del personale</w:t>
      </w:r>
      <w:r>
        <w:rPr>
          <w:rFonts w:ascii="Arial" w:hAnsi="Arial" w:cs="Arial"/>
          <w:sz w:val="21"/>
          <w:szCs w:val="21"/>
        </w:rPr>
        <w:t>, con attenzione prioritaria al responsabile anticorruzione dell’amministrazione e ai respons</w:t>
      </w:r>
      <w:r>
        <w:rPr>
          <w:rFonts w:ascii="Arial" w:hAnsi="Arial" w:cs="Arial"/>
          <w:sz w:val="21"/>
          <w:szCs w:val="21"/>
        </w:rPr>
        <w:t>abili amministrativi competenti per le attività maggiormente esposte al rischio di corruzione ma che coinvolgono anche tutto il personale dell’amministrazione in relazione alle tematiche della legalità ed eticità dei comportamenti individuali Tali attività</w:t>
      </w:r>
      <w:r>
        <w:rPr>
          <w:rFonts w:ascii="Arial" w:hAnsi="Arial" w:cs="Arial"/>
          <w:sz w:val="21"/>
          <w:szCs w:val="21"/>
        </w:rPr>
        <w:t xml:space="preserve"> proseguiranno in prima battuta tramite l’apporto degli esperti del Consorzio dei Comuni Trentini.</w:t>
      </w:r>
    </w:p>
    <w:p w14:paraId="4F04E518" w14:textId="77777777" w:rsidR="003A719B" w:rsidRDefault="00DF4CA4">
      <w:pPr>
        <w:pStyle w:val="Default"/>
        <w:numPr>
          <w:ilvl w:val="0"/>
          <w:numId w:val="6"/>
        </w:numPr>
        <w:spacing w:before="100" w:after="0" w:line="240" w:lineRule="auto"/>
      </w:pPr>
      <w:r>
        <w:rPr>
          <w:rFonts w:ascii="Arial" w:hAnsi="Arial" w:cs="Arial"/>
          <w:color w:val="auto"/>
          <w:sz w:val="21"/>
          <w:szCs w:val="21"/>
        </w:rPr>
        <w:t xml:space="preserve">l’attività di monitoraggio del Piano precedente dal quale è emerso un buon livello di realizzazione degli obiettivi stabiliti e delle procedure </w:t>
      </w:r>
      <w:r>
        <w:rPr>
          <w:rFonts w:ascii="Arial" w:hAnsi="Arial" w:cs="Arial"/>
          <w:color w:val="auto"/>
          <w:sz w:val="21"/>
          <w:szCs w:val="21"/>
        </w:rPr>
        <w:t>adottate nei singoli uffici comunali nonché l’assoluta mancanza di fenomeni corruttivi all’interno di questo comune;</w:t>
      </w:r>
    </w:p>
    <w:p w14:paraId="09D599BF" w14:textId="77777777" w:rsidR="003A719B" w:rsidRDefault="00DF4CA4">
      <w:pPr>
        <w:pStyle w:val="Default"/>
        <w:numPr>
          <w:ilvl w:val="0"/>
          <w:numId w:val="6"/>
        </w:numPr>
        <w:spacing w:before="100" w:after="0" w:line="240" w:lineRule="auto"/>
        <w:rPr>
          <w:rFonts w:ascii="Arial" w:hAnsi="Arial" w:cs="Arial"/>
          <w:color w:val="auto"/>
          <w:sz w:val="21"/>
          <w:szCs w:val="21"/>
        </w:rPr>
      </w:pPr>
      <w:r>
        <w:rPr>
          <w:rFonts w:ascii="Arial" w:hAnsi="Arial" w:cs="Arial"/>
          <w:color w:val="auto"/>
          <w:sz w:val="21"/>
          <w:szCs w:val="21"/>
        </w:rPr>
        <w:t>l’adeguamento normativo a seguito della regolazione della materia da parte dell’ANAC, in particolare, con le delibere n. 1134 e 1208 del 20</w:t>
      </w:r>
      <w:r>
        <w:rPr>
          <w:rFonts w:ascii="Arial" w:hAnsi="Arial" w:cs="Arial"/>
          <w:color w:val="auto"/>
          <w:sz w:val="21"/>
          <w:szCs w:val="21"/>
        </w:rPr>
        <w:t>17;</w:t>
      </w:r>
    </w:p>
    <w:p w14:paraId="6277E790" w14:textId="77777777" w:rsidR="003A719B" w:rsidRDefault="00DF4CA4">
      <w:pPr>
        <w:pStyle w:val="Standard"/>
        <w:numPr>
          <w:ilvl w:val="0"/>
          <w:numId w:val="6"/>
        </w:numPr>
        <w:autoSpaceDE w:val="0"/>
        <w:spacing w:before="100"/>
        <w:jc w:val="both"/>
        <w:rPr>
          <w:rFonts w:ascii="Arial" w:hAnsi="Arial" w:cs="Arial"/>
          <w:sz w:val="21"/>
          <w:szCs w:val="21"/>
        </w:rPr>
      </w:pPr>
      <w:r>
        <w:rPr>
          <w:rFonts w:ascii="Arial" w:hAnsi="Arial" w:cs="Arial"/>
          <w:sz w:val="21"/>
          <w:szCs w:val="21"/>
        </w:rPr>
        <w:t>la continuità con le azioni intraprese con i precedenti Piani Triennali di Prevenzione della Corruzione e della Trasparenza.</w:t>
      </w:r>
    </w:p>
    <w:p w14:paraId="2CFB5B7A" w14:textId="77777777" w:rsidR="003A719B" w:rsidRDefault="00DF4CA4">
      <w:pPr>
        <w:pStyle w:val="Standard"/>
        <w:spacing w:before="100"/>
        <w:jc w:val="both"/>
      </w:pPr>
      <w:r>
        <w:rPr>
          <w:rFonts w:ascii="Arial" w:hAnsi="Arial" w:cs="Arial"/>
          <w:sz w:val="21"/>
          <w:szCs w:val="21"/>
        </w:rPr>
        <w:t xml:space="preserve">Inoltre si è ritenuto opportuno - come previsto nella circolare n. 1 del 25 gennaio 2013 del Dipartimento della </w:t>
      </w:r>
      <w:r>
        <w:rPr>
          <w:rFonts w:ascii="Arial" w:hAnsi="Arial" w:cs="Arial"/>
          <w:sz w:val="21"/>
          <w:szCs w:val="21"/>
        </w:rPr>
        <w:t xml:space="preserve">Funzione Pubblica </w:t>
      </w:r>
      <w:r>
        <w:rPr>
          <w:rFonts w:ascii="Arial" w:hAnsi="Arial" w:cs="Arial"/>
          <w:b/>
          <w:sz w:val="21"/>
          <w:szCs w:val="21"/>
        </w:rPr>
        <w:t>- ampliare il concetto di corruzione, ricomprendendo tutte quelle situazioni in cui “</w:t>
      </w:r>
      <w:r>
        <w:rPr>
          <w:rFonts w:ascii="Arial" w:hAnsi="Arial" w:cs="Arial"/>
          <w:b/>
          <w:i/>
          <w:sz w:val="21"/>
          <w:szCs w:val="21"/>
        </w:rPr>
        <w:t>nel corso dell’attività amministrativa, si riscontri l’abuso, da parte di un</w:t>
      </w:r>
      <w:r>
        <w:rPr>
          <w:rFonts w:ascii="Arial" w:hAnsi="Arial" w:cs="Arial"/>
          <w:i/>
          <w:sz w:val="21"/>
          <w:szCs w:val="21"/>
        </w:rPr>
        <w:t xml:space="preserve"> soggetto, del potere a lui affidato al fine di ottenere vantaggi privati. (…</w:t>
      </w:r>
      <w:r>
        <w:rPr>
          <w:rFonts w:ascii="Arial" w:hAnsi="Arial" w:cs="Arial"/>
          <w:i/>
          <w:sz w:val="21"/>
          <w:szCs w:val="21"/>
        </w:rPr>
        <w:t>) Le situazioni rilevanti sono quindi più ampie della fattispecie penalistica e sono tali da ricomprendere non solo l’intera gamma dei delitti contro la Pubblica Amministrazione disciplinati nel Titolo II, capo I del codice penale, ma anche le situazioni i</w:t>
      </w:r>
      <w:r>
        <w:rPr>
          <w:rFonts w:ascii="Arial" w:hAnsi="Arial" w:cs="Arial"/>
          <w:i/>
          <w:sz w:val="21"/>
          <w:szCs w:val="21"/>
        </w:rPr>
        <w:t>n cui, a prescindere dalla rilevanza penale, venga in evidenza un malfunzionamento dell’amministrazione a causa dell’uso a fini privati delle funzioni attribuite</w:t>
      </w:r>
      <w:r>
        <w:rPr>
          <w:rFonts w:ascii="Arial" w:hAnsi="Arial" w:cs="Arial"/>
          <w:sz w:val="21"/>
          <w:szCs w:val="21"/>
        </w:rPr>
        <w:t>”.</w:t>
      </w:r>
    </w:p>
    <w:p w14:paraId="41F11AD5" w14:textId="77777777" w:rsidR="003A719B" w:rsidRDefault="003A719B">
      <w:pPr>
        <w:pStyle w:val="Standard"/>
        <w:spacing w:before="100"/>
        <w:jc w:val="both"/>
        <w:rPr>
          <w:rFonts w:ascii="Arial" w:hAnsi="Arial" w:cs="Arial"/>
          <w:sz w:val="21"/>
          <w:szCs w:val="21"/>
        </w:rPr>
      </w:pPr>
    </w:p>
    <w:p w14:paraId="599F2A1B" w14:textId="77777777" w:rsidR="003A719B" w:rsidRDefault="003A719B">
      <w:pPr>
        <w:pStyle w:val="Standard"/>
        <w:spacing w:before="100"/>
        <w:jc w:val="both"/>
        <w:rPr>
          <w:rFonts w:ascii="Arial" w:hAnsi="Arial" w:cs="Arial"/>
          <w:sz w:val="21"/>
          <w:szCs w:val="21"/>
        </w:rPr>
      </w:pPr>
    </w:p>
    <w:p w14:paraId="4A1F27A6" w14:textId="77777777" w:rsidR="003A719B" w:rsidRDefault="003A719B">
      <w:pPr>
        <w:pStyle w:val="Standard"/>
        <w:spacing w:before="100"/>
        <w:jc w:val="both"/>
        <w:rPr>
          <w:rFonts w:ascii="Arial" w:hAnsi="Arial" w:cs="Arial"/>
          <w:sz w:val="21"/>
          <w:szCs w:val="21"/>
        </w:rPr>
      </w:pPr>
    </w:p>
    <w:p w14:paraId="2840DCFA" w14:textId="77777777" w:rsidR="003A719B" w:rsidRDefault="00DF4CA4">
      <w:pPr>
        <w:pStyle w:val="Titolo2"/>
        <w:rPr>
          <w:i w:val="0"/>
          <w:sz w:val="21"/>
          <w:szCs w:val="21"/>
        </w:rPr>
      </w:pPr>
      <w:bookmarkStart w:id="14" w:name="__RefHeading___Toc1958_761212699"/>
      <w:r>
        <w:rPr>
          <w:i w:val="0"/>
          <w:sz w:val="21"/>
          <w:szCs w:val="21"/>
        </w:rPr>
        <w:t>8.2 SENSIBILIZZAZIONE DEI RESPONSABILI DI SERVIZIO E CONDIVISIONE DELL’APPROCCIO</w:t>
      </w:r>
      <w:bookmarkEnd w:id="14"/>
    </w:p>
    <w:p w14:paraId="5B6A3C35" w14:textId="77777777" w:rsidR="003A719B" w:rsidRDefault="00DF4CA4">
      <w:pPr>
        <w:pStyle w:val="Standard"/>
        <w:spacing w:before="100"/>
        <w:jc w:val="both"/>
        <w:rPr>
          <w:rFonts w:ascii="Arial" w:hAnsi="Arial" w:cs="Arial"/>
          <w:sz w:val="21"/>
          <w:szCs w:val="21"/>
        </w:rPr>
      </w:pPr>
      <w:r>
        <w:rPr>
          <w:rFonts w:ascii="Arial" w:hAnsi="Arial" w:cs="Arial"/>
          <w:sz w:val="21"/>
          <w:szCs w:val="21"/>
        </w:rPr>
        <w:t>Il primo</w:t>
      </w:r>
      <w:r>
        <w:rPr>
          <w:rFonts w:ascii="Arial" w:hAnsi="Arial" w:cs="Arial"/>
          <w:sz w:val="21"/>
          <w:szCs w:val="21"/>
        </w:rPr>
        <w:t xml:space="preserve"> passo compiuto nella direzione auspicata è stato quello di far crescere all’interno del Comune la consapevolezza sul problema dell’integrità dei comportamenti.</w:t>
      </w:r>
    </w:p>
    <w:p w14:paraId="1594B1D8" w14:textId="77777777" w:rsidR="003A719B" w:rsidRDefault="00DF4CA4">
      <w:pPr>
        <w:pStyle w:val="Standard"/>
        <w:spacing w:before="100"/>
        <w:jc w:val="both"/>
      </w:pPr>
      <w:r>
        <w:rPr>
          <w:rFonts w:ascii="Arial" w:hAnsi="Arial" w:cs="Arial"/>
          <w:sz w:val="21"/>
          <w:szCs w:val="21"/>
        </w:rPr>
        <w:t xml:space="preserve">In coerenza con l’importanza della condivisione delle finalità e del metodo di costruzione del </w:t>
      </w:r>
      <w:r>
        <w:rPr>
          <w:rFonts w:ascii="Arial" w:hAnsi="Arial" w:cs="Arial"/>
          <w:sz w:val="21"/>
          <w:szCs w:val="21"/>
        </w:rPr>
        <w:t xml:space="preserve">Piano, in questa fase formativa si è provveduto – in più incontri specifici - alla </w:t>
      </w:r>
      <w:r>
        <w:rPr>
          <w:rFonts w:ascii="Arial" w:hAnsi="Arial" w:cs="Arial"/>
          <w:b/>
          <w:sz w:val="21"/>
          <w:szCs w:val="21"/>
        </w:rPr>
        <w:t>sensibilizzazione e al coinvolgimento dei Responsabili di Servizio</w:t>
      </w:r>
      <w:r>
        <w:rPr>
          <w:rFonts w:ascii="Arial" w:hAnsi="Arial" w:cs="Arial"/>
          <w:sz w:val="21"/>
          <w:szCs w:val="21"/>
        </w:rPr>
        <w:t>, definendo in quella sede che il Piano di prevenzione della corruzione avrebbe incluso non solo i procedim</w:t>
      </w:r>
      <w:r>
        <w:rPr>
          <w:rFonts w:ascii="Arial" w:hAnsi="Arial" w:cs="Arial"/>
          <w:sz w:val="21"/>
          <w:szCs w:val="21"/>
        </w:rPr>
        <w:t>enti previsti dall’art. 1 comma 16 della L. 190 (autorizzazioni o concessioni; scelta del contraente per l'affidamento di lavori, forniture e servizi; concessione ed erogazione di sovvenzioni, contributi, sussidi, ausili finanziari, nonché' attribuzione di</w:t>
      </w:r>
      <w:r>
        <w:rPr>
          <w:rFonts w:ascii="Arial" w:hAnsi="Arial" w:cs="Arial"/>
          <w:sz w:val="21"/>
          <w:szCs w:val="21"/>
        </w:rPr>
        <w:t xml:space="preserve"> vantaggi economici di qualunque genere a persone ed enti pubblici e privati; concorsi e prove selettive per l'assunzione del personale e progressioni di carriera), ma che il punto di partenza sarebbe stata l’analisi di </w:t>
      </w:r>
      <w:r>
        <w:rPr>
          <w:rFonts w:ascii="Arial" w:hAnsi="Arial" w:cs="Arial"/>
          <w:b/>
          <w:sz w:val="21"/>
          <w:szCs w:val="21"/>
        </w:rPr>
        <w:t>tutte le attività del Comune</w:t>
      </w:r>
      <w:r>
        <w:rPr>
          <w:rFonts w:ascii="Arial" w:hAnsi="Arial" w:cs="Arial"/>
          <w:sz w:val="21"/>
          <w:szCs w:val="21"/>
        </w:rPr>
        <w:t xml:space="preserve"> che pos</w:t>
      </w:r>
      <w:r>
        <w:rPr>
          <w:rFonts w:ascii="Arial" w:hAnsi="Arial" w:cs="Arial"/>
          <w:sz w:val="21"/>
          <w:szCs w:val="21"/>
        </w:rPr>
        <w:t>sono presentare rischi di integrità.</w:t>
      </w:r>
    </w:p>
    <w:p w14:paraId="0477773A" w14:textId="77777777" w:rsidR="003A719B" w:rsidRDefault="00DF4CA4">
      <w:pPr>
        <w:pStyle w:val="Standard"/>
        <w:spacing w:before="100"/>
        <w:jc w:val="both"/>
        <w:rPr>
          <w:rFonts w:ascii="Arial" w:hAnsi="Arial" w:cs="Arial"/>
          <w:sz w:val="21"/>
          <w:szCs w:val="21"/>
        </w:rPr>
      </w:pPr>
      <w:r>
        <w:rPr>
          <w:rFonts w:ascii="Arial" w:hAnsi="Arial" w:cs="Arial"/>
          <w:sz w:val="21"/>
          <w:szCs w:val="21"/>
        </w:rPr>
        <w:t>Poiché nel Comune di Novella, in forza del Codice degli Enti Locali della Regione autonoma Trentino-Alto Adige (Legge regionale 3 maggio 2018 n. 2 e ss mm), gli Amministratori assumono compiti anche di natura gestionale</w:t>
      </w:r>
      <w:r>
        <w:rPr>
          <w:rFonts w:ascii="Arial" w:hAnsi="Arial" w:cs="Arial"/>
          <w:sz w:val="21"/>
          <w:szCs w:val="21"/>
        </w:rPr>
        <w:t>, la loro partecipazione a questo processo è doverosa oltre che strategica, sia in termini di indirizzo politico – amministrativo che di condivisione dei principi di sana ed integra gestione della cosa pubblica.</w:t>
      </w:r>
    </w:p>
    <w:p w14:paraId="762591AE" w14:textId="77777777" w:rsidR="003A719B" w:rsidRDefault="00DF4CA4">
      <w:pPr>
        <w:pStyle w:val="Standard"/>
        <w:spacing w:before="100"/>
        <w:jc w:val="both"/>
        <w:rPr>
          <w:rFonts w:ascii="Arial" w:hAnsi="Arial" w:cs="Arial"/>
          <w:sz w:val="21"/>
          <w:szCs w:val="21"/>
        </w:rPr>
      </w:pPr>
      <w:r>
        <w:rPr>
          <w:rFonts w:ascii="Arial" w:hAnsi="Arial" w:cs="Arial"/>
          <w:sz w:val="21"/>
          <w:szCs w:val="21"/>
        </w:rPr>
        <w:t>Per questo si è provveduto al loro coinvolgi</w:t>
      </w:r>
      <w:r>
        <w:rPr>
          <w:rFonts w:ascii="Arial" w:hAnsi="Arial" w:cs="Arial"/>
          <w:sz w:val="21"/>
          <w:szCs w:val="21"/>
        </w:rPr>
        <w:t>mento e ad una loro sensibilizzazione in itinere al processo di progettazione del presente Piano.</w:t>
      </w:r>
    </w:p>
    <w:p w14:paraId="1A52C776" w14:textId="77777777" w:rsidR="003A719B" w:rsidRDefault="003A719B">
      <w:pPr>
        <w:pStyle w:val="Standard"/>
        <w:spacing w:before="100"/>
        <w:jc w:val="both"/>
        <w:rPr>
          <w:rFonts w:ascii="Arial" w:hAnsi="Arial" w:cs="Arial"/>
          <w:color w:val="000000"/>
          <w:sz w:val="21"/>
          <w:szCs w:val="21"/>
          <w:u w:val="single"/>
        </w:rPr>
      </w:pPr>
    </w:p>
    <w:p w14:paraId="74BAA818" w14:textId="77777777" w:rsidR="003A719B" w:rsidRDefault="00DF4CA4">
      <w:pPr>
        <w:pStyle w:val="Titolo2"/>
        <w:rPr>
          <w:i w:val="0"/>
          <w:sz w:val="21"/>
          <w:szCs w:val="21"/>
        </w:rPr>
      </w:pPr>
      <w:bookmarkStart w:id="15" w:name="__RefHeading___Toc1960_761212699"/>
      <w:r>
        <w:rPr>
          <w:i w:val="0"/>
          <w:sz w:val="21"/>
          <w:szCs w:val="21"/>
        </w:rPr>
        <w:lastRenderedPageBreak/>
        <w:t>8.3 INDIVIDUAZIONE DEI PROCESSI A RISCHIO E DEI POSSIBILI RISCHI</w:t>
      </w:r>
      <w:bookmarkEnd w:id="15"/>
    </w:p>
    <w:p w14:paraId="37CFA3B2" w14:textId="77777777" w:rsidR="003A719B" w:rsidRDefault="00DF4CA4">
      <w:pPr>
        <w:pStyle w:val="Standard"/>
        <w:spacing w:before="100"/>
        <w:jc w:val="both"/>
        <w:rPr>
          <w:rFonts w:ascii="Arial" w:hAnsi="Arial" w:cs="Arial"/>
          <w:sz w:val="21"/>
          <w:szCs w:val="21"/>
        </w:rPr>
      </w:pPr>
      <w:r>
        <w:rPr>
          <w:rFonts w:ascii="Arial" w:hAnsi="Arial" w:cs="Arial"/>
          <w:sz w:val="21"/>
          <w:szCs w:val="21"/>
        </w:rPr>
        <w:t>Con il criterio della priorità, sono stati selezionati dal Segretario Comunale e validati da</w:t>
      </w:r>
      <w:r>
        <w:rPr>
          <w:rFonts w:ascii="Arial" w:hAnsi="Arial" w:cs="Arial"/>
          <w:sz w:val="21"/>
          <w:szCs w:val="21"/>
        </w:rPr>
        <w:t>i Responsabili i processi che, in funzione della situazione specifica del Comune, presentano possibili rischi per l’integrità, classificando tali rischi in relazione al grado di “pericolosità” ai fini delle norme anticorruzione.</w:t>
      </w:r>
    </w:p>
    <w:p w14:paraId="33C7AA9F" w14:textId="77777777" w:rsidR="003A719B" w:rsidRDefault="00DF4CA4">
      <w:pPr>
        <w:pStyle w:val="Standard"/>
        <w:spacing w:before="100"/>
        <w:jc w:val="both"/>
      </w:pPr>
      <w:r>
        <w:rPr>
          <w:rFonts w:ascii="Arial" w:hAnsi="Arial" w:cs="Arial"/>
          <w:sz w:val="21"/>
          <w:szCs w:val="21"/>
        </w:rPr>
        <w:t>In coerenza con quanto prev</w:t>
      </w:r>
      <w:r>
        <w:rPr>
          <w:rFonts w:ascii="Arial" w:hAnsi="Arial" w:cs="Arial"/>
          <w:sz w:val="21"/>
          <w:szCs w:val="21"/>
        </w:rPr>
        <w:t xml:space="preserve">isto dal D.lgs. 231/2001 e con le conclusioni della Commissione di Studio su trasparenza e corruzione (rapporto del 30 gennaio 2012), sono state attuate in tale selezione metodologie proprie del </w:t>
      </w:r>
      <w:r>
        <w:rPr>
          <w:rFonts w:ascii="Arial" w:hAnsi="Arial" w:cs="Arial"/>
          <w:b/>
          <w:bCs/>
          <w:sz w:val="21"/>
          <w:szCs w:val="21"/>
        </w:rPr>
        <w:t>risk management</w:t>
      </w:r>
      <w:r>
        <w:rPr>
          <w:rFonts w:ascii="Arial" w:hAnsi="Arial" w:cs="Arial"/>
          <w:sz w:val="21"/>
          <w:szCs w:val="21"/>
        </w:rPr>
        <w:t xml:space="preserve"> (gestione del rischio)</w:t>
      </w:r>
      <w:r>
        <w:rPr>
          <w:rFonts w:ascii="Arial" w:hAnsi="Arial" w:cs="Arial"/>
          <w:b/>
          <w:bCs/>
          <w:sz w:val="21"/>
          <w:szCs w:val="21"/>
        </w:rPr>
        <w:t xml:space="preserve"> </w:t>
      </w:r>
      <w:r>
        <w:rPr>
          <w:rFonts w:ascii="Arial" w:hAnsi="Arial" w:cs="Arial"/>
          <w:sz w:val="21"/>
          <w:szCs w:val="21"/>
        </w:rPr>
        <w:t xml:space="preserve">nella </w:t>
      </w:r>
      <w:r>
        <w:rPr>
          <w:rFonts w:ascii="Arial" w:hAnsi="Arial" w:cs="Arial"/>
          <w:sz w:val="21"/>
          <w:szCs w:val="21"/>
        </w:rPr>
        <w:t xml:space="preserve">valutazione della priorità dei rischi, caratterizzando ogni processo in base ad un </w:t>
      </w:r>
      <w:r>
        <w:rPr>
          <w:rFonts w:ascii="Arial" w:hAnsi="Arial" w:cs="Arial"/>
          <w:b/>
          <w:bCs/>
          <w:sz w:val="21"/>
          <w:szCs w:val="21"/>
        </w:rPr>
        <w:t>indice di rischio</w:t>
      </w:r>
      <w:r>
        <w:rPr>
          <w:rFonts w:ascii="Arial" w:hAnsi="Arial" w:cs="Arial"/>
          <w:sz w:val="21"/>
          <w:szCs w:val="21"/>
        </w:rPr>
        <w:t xml:space="preserve"> in grado di misurare il suo specifico livello di criticità e di poterlo quindi successivamente comparare con il livello di criticità degli altri processi.</w:t>
      </w:r>
    </w:p>
    <w:p w14:paraId="0DE97021" w14:textId="77777777" w:rsidR="003A719B" w:rsidRDefault="00DF4CA4">
      <w:pPr>
        <w:pStyle w:val="Standard"/>
        <w:spacing w:before="100"/>
        <w:jc w:val="both"/>
        <w:rPr>
          <w:rFonts w:ascii="Arial" w:hAnsi="Arial" w:cs="Arial"/>
          <w:sz w:val="21"/>
          <w:szCs w:val="21"/>
        </w:rPr>
      </w:pPr>
      <w:r>
        <w:rPr>
          <w:rFonts w:ascii="Arial" w:hAnsi="Arial" w:cs="Arial"/>
          <w:sz w:val="21"/>
          <w:szCs w:val="21"/>
        </w:rPr>
        <w:t>L’approccio prevede che un rischio sia analizzato secondo due dimensioni:</w:t>
      </w:r>
    </w:p>
    <w:p w14:paraId="4F7F57B6" w14:textId="77777777" w:rsidR="003A719B" w:rsidRDefault="00DF4CA4">
      <w:pPr>
        <w:pStyle w:val="Standard"/>
        <w:numPr>
          <w:ilvl w:val="0"/>
          <w:numId w:val="27"/>
        </w:numPr>
        <w:spacing w:before="100"/>
        <w:jc w:val="both"/>
      </w:pPr>
      <w:r>
        <w:rPr>
          <w:rFonts w:ascii="Arial" w:hAnsi="Arial" w:cs="Arial"/>
          <w:sz w:val="21"/>
          <w:szCs w:val="21"/>
        </w:rPr>
        <w:t xml:space="preserve">la </w:t>
      </w:r>
      <w:r>
        <w:rPr>
          <w:rFonts w:ascii="Arial" w:hAnsi="Arial" w:cs="Arial"/>
          <w:b/>
          <w:bCs/>
          <w:sz w:val="21"/>
          <w:szCs w:val="21"/>
        </w:rPr>
        <w:t>probabilità di accadimento</w:t>
      </w:r>
      <w:r>
        <w:rPr>
          <w:rFonts w:ascii="Arial" w:hAnsi="Arial" w:cs="Arial"/>
          <w:sz w:val="21"/>
          <w:szCs w:val="21"/>
        </w:rPr>
        <w:t>, cioè la stima di quanto è probabile che il rischio si manifesti in quel processo, in relazione ad esempio alla presenza di discrezionalità, di fasi dec</w:t>
      </w:r>
      <w:r>
        <w:rPr>
          <w:rFonts w:ascii="Arial" w:hAnsi="Arial" w:cs="Arial"/>
          <w:sz w:val="21"/>
          <w:szCs w:val="21"/>
        </w:rPr>
        <w:t>isionali o di attività esterne a contatto con l’utente;</w:t>
      </w:r>
    </w:p>
    <w:p w14:paraId="6354C405" w14:textId="77777777" w:rsidR="003A719B" w:rsidRDefault="00DF4CA4">
      <w:pPr>
        <w:pStyle w:val="Standard"/>
        <w:numPr>
          <w:ilvl w:val="0"/>
          <w:numId w:val="8"/>
        </w:numPr>
        <w:spacing w:before="100"/>
        <w:jc w:val="both"/>
      </w:pPr>
      <w:r>
        <w:rPr>
          <w:rFonts w:ascii="Arial" w:hAnsi="Arial" w:cs="Arial"/>
          <w:b/>
          <w:bCs/>
          <w:sz w:val="21"/>
          <w:szCs w:val="21"/>
        </w:rPr>
        <w:t>l’impatto dell’accadimento</w:t>
      </w:r>
      <w:r>
        <w:rPr>
          <w:rFonts w:ascii="Arial" w:hAnsi="Arial" w:cs="Arial"/>
          <w:sz w:val="21"/>
          <w:szCs w:val="21"/>
        </w:rPr>
        <w:t>, cioè la stima dell’entità del danno – materiale o di immagine- connesso all’eventualità che il rischio si concretizzi.</w:t>
      </w:r>
    </w:p>
    <w:p w14:paraId="45F0EB07" w14:textId="77777777" w:rsidR="003A719B" w:rsidRDefault="00DF4CA4">
      <w:pPr>
        <w:pStyle w:val="Standard"/>
        <w:spacing w:before="100"/>
        <w:jc w:val="both"/>
        <w:rPr>
          <w:rFonts w:ascii="Arial" w:hAnsi="Arial" w:cs="Arial"/>
          <w:sz w:val="21"/>
          <w:szCs w:val="21"/>
        </w:rPr>
      </w:pPr>
      <w:r>
        <w:rPr>
          <w:rFonts w:ascii="Arial" w:hAnsi="Arial" w:cs="Arial"/>
          <w:sz w:val="21"/>
          <w:szCs w:val="21"/>
        </w:rPr>
        <w:t>L’indice di rischio si ottiene moltiplicando tra loro</w:t>
      </w:r>
      <w:r>
        <w:rPr>
          <w:rFonts w:ascii="Arial" w:hAnsi="Arial" w:cs="Arial"/>
          <w:sz w:val="21"/>
          <w:szCs w:val="21"/>
        </w:rPr>
        <w:t xml:space="preserve"> questa due variabili (per ognuna delle quali si è stabilita convenzionalmente la seguente scala quantitativa:</w:t>
      </w:r>
    </w:p>
    <w:p w14:paraId="46754502" w14:textId="77777777" w:rsidR="003A719B" w:rsidRDefault="00DF4CA4">
      <w:pPr>
        <w:pStyle w:val="Standard"/>
        <w:spacing w:before="100"/>
        <w:jc w:val="both"/>
      </w:pPr>
      <w:r>
        <w:rPr>
          <w:rFonts w:ascii="Arial" w:hAnsi="Arial" w:cs="Arial"/>
          <w:sz w:val="21"/>
          <w:szCs w:val="21"/>
          <w:u w:val="single"/>
        </w:rPr>
        <w:t>indice di probabilità</w:t>
      </w:r>
      <w:r>
        <w:rPr>
          <w:rFonts w:ascii="Arial" w:hAnsi="Arial" w:cs="Arial"/>
          <w:sz w:val="21"/>
          <w:szCs w:val="21"/>
        </w:rPr>
        <w:t>:</w:t>
      </w:r>
    </w:p>
    <w:p w14:paraId="1BE532EC" w14:textId="77777777" w:rsidR="003A719B" w:rsidRDefault="00DF4CA4">
      <w:pPr>
        <w:pStyle w:val="Standard"/>
        <w:jc w:val="both"/>
        <w:rPr>
          <w:rFonts w:ascii="Arial" w:hAnsi="Arial" w:cs="Arial"/>
          <w:sz w:val="21"/>
          <w:szCs w:val="21"/>
        </w:rPr>
      </w:pPr>
      <w:r>
        <w:rPr>
          <w:rFonts w:ascii="Arial" w:hAnsi="Arial" w:cs="Arial"/>
          <w:sz w:val="21"/>
          <w:szCs w:val="21"/>
        </w:rPr>
        <w:t>•Con probabilità da 0 a 0,05 (5%) il valore indicativo è 1, probabilità tenue;</w:t>
      </w:r>
    </w:p>
    <w:p w14:paraId="42DF4F5E" w14:textId="77777777" w:rsidR="003A719B" w:rsidRDefault="00DF4CA4">
      <w:pPr>
        <w:pStyle w:val="Standard"/>
        <w:jc w:val="both"/>
        <w:rPr>
          <w:rFonts w:ascii="Arial" w:hAnsi="Arial" w:cs="Arial"/>
          <w:sz w:val="21"/>
          <w:szCs w:val="21"/>
        </w:rPr>
      </w:pPr>
      <w:r>
        <w:rPr>
          <w:rFonts w:ascii="Arial" w:hAnsi="Arial" w:cs="Arial"/>
          <w:sz w:val="21"/>
          <w:szCs w:val="21"/>
        </w:rPr>
        <w:t xml:space="preserve">•Con probabilità da 0,05 (5%) a 0,15 (15%) </w:t>
      </w:r>
      <w:r>
        <w:rPr>
          <w:rFonts w:ascii="Arial" w:hAnsi="Arial" w:cs="Arial"/>
          <w:sz w:val="21"/>
          <w:szCs w:val="21"/>
        </w:rPr>
        <w:t>il valore indicativo è 2, probabilità media;</w:t>
      </w:r>
    </w:p>
    <w:p w14:paraId="0BF49581" w14:textId="77777777" w:rsidR="003A719B" w:rsidRDefault="00DF4CA4">
      <w:pPr>
        <w:pStyle w:val="Standard"/>
        <w:jc w:val="both"/>
        <w:rPr>
          <w:rFonts w:ascii="Arial" w:hAnsi="Arial" w:cs="Arial"/>
          <w:sz w:val="21"/>
          <w:szCs w:val="21"/>
        </w:rPr>
      </w:pPr>
      <w:r>
        <w:rPr>
          <w:rFonts w:ascii="Arial" w:hAnsi="Arial" w:cs="Arial"/>
          <w:sz w:val="21"/>
          <w:szCs w:val="21"/>
        </w:rPr>
        <w:t>•Con probabilità da 0,15 (15%) a 1 (100%) il valore indicativo è 3, probabilità elevata.</w:t>
      </w:r>
    </w:p>
    <w:p w14:paraId="41182CDC" w14:textId="77777777" w:rsidR="003A719B" w:rsidRDefault="00DF4CA4">
      <w:pPr>
        <w:pStyle w:val="Standard"/>
        <w:spacing w:before="100"/>
        <w:jc w:val="both"/>
      </w:pPr>
      <w:r>
        <w:rPr>
          <w:rFonts w:ascii="Arial" w:hAnsi="Arial" w:cs="Arial"/>
          <w:sz w:val="21"/>
          <w:szCs w:val="21"/>
          <w:u w:val="single"/>
        </w:rPr>
        <w:t>indice di impatto</w:t>
      </w:r>
      <w:r>
        <w:rPr>
          <w:rFonts w:ascii="Arial" w:hAnsi="Arial" w:cs="Arial"/>
          <w:sz w:val="21"/>
          <w:szCs w:val="21"/>
        </w:rPr>
        <w:t>:</w:t>
      </w:r>
    </w:p>
    <w:p w14:paraId="577DDA33" w14:textId="77777777" w:rsidR="003A719B" w:rsidRDefault="00DF4CA4">
      <w:pPr>
        <w:pStyle w:val="Standard"/>
        <w:jc w:val="both"/>
        <w:rPr>
          <w:rFonts w:ascii="Arial" w:hAnsi="Arial" w:cs="Arial"/>
          <w:sz w:val="21"/>
          <w:szCs w:val="21"/>
        </w:rPr>
      </w:pPr>
      <w:r>
        <w:rPr>
          <w:rFonts w:ascii="Arial" w:hAnsi="Arial" w:cs="Arial"/>
          <w:sz w:val="21"/>
          <w:szCs w:val="21"/>
        </w:rPr>
        <w:t>•Con impatto sul totale da 0 a 0,33 (33%) il valore indicativo è 1, cioè impatto tenue;</w:t>
      </w:r>
    </w:p>
    <w:p w14:paraId="1228AE0C" w14:textId="77777777" w:rsidR="003A719B" w:rsidRDefault="00DF4CA4">
      <w:pPr>
        <w:pStyle w:val="Standard"/>
        <w:jc w:val="both"/>
        <w:rPr>
          <w:rFonts w:ascii="Arial" w:hAnsi="Arial" w:cs="Arial"/>
          <w:sz w:val="21"/>
          <w:szCs w:val="21"/>
        </w:rPr>
      </w:pPr>
      <w:r>
        <w:rPr>
          <w:rFonts w:ascii="Arial" w:hAnsi="Arial" w:cs="Arial"/>
          <w:sz w:val="21"/>
          <w:szCs w:val="21"/>
        </w:rPr>
        <w:t xml:space="preserve">•Con </w:t>
      </w:r>
      <w:r>
        <w:rPr>
          <w:rFonts w:ascii="Arial" w:hAnsi="Arial" w:cs="Arial"/>
          <w:sz w:val="21"/>
          <w:szCs w:val="21"/>
        </w:rPr>
        <w:t>impatto sul totale da 0,33 (33%) a 0,66 (66%) il valore indicativo è 2, cioè impatto medio;</w:t>
      </w:r>
    </w:p>
    <w:p w14:paraId="3DA9BBD4" w14:textId="77777777" w:rsidR="003A719B" w:rsidRDefault="00DF4CA4">
      <w:pPr>
        <w:pStyle w:val="Standard"/>
        <w:jc w:val="both"/>
        <w:rPr>
          <w:rFonts w:ascii="Arial" w:hAnsi="Arial" w:cs="Arial"/>
          <w:sz w:val="21"/>
          <w:szCs w:val="21"/>
        </w:rPr>
      </w:pPr>
      <w:r>
        <w:rPr>
          <w:rFonts w:ascii="Arial" w:hAnsi="Arial" w:cs="Arial"/>
          <w:sz w:val="21"/>
          <w:szCs w:val="21"/>
        </w:rPr>
        <w:t>•Con impatto sul totale da 0,66 (66%) a 1 (100%) il valore indicativo è 3, cioè impatto elevato.</w:t>
      </w:r>
    </w:p>
    <w:p w14:paraId="33979A12" w14:textId="77777777" w:rsidR="003A719B" w:rsidRDefault="00DF4CA4">
      <w:pPr>
        <w:pStyle w:val="Standard"/>
        <w:spacing w:before="100"/>
        <w:jc w:val="both"/>
        <w:rPr>
          <w:rFonts w:ascii="Arial" w:hAnsi="Arial" w:cs="Arial"/>
          <w:sz w:val="21"/>
          <w:szCs w:val="21"/>
        </w:rPr>
      </w:pPr>
      <w:r>
        <w:rPr>
          <w:rFonts w:ascii="Arial" w:hAnsi="Arial" w:cs="Arial"/>
          <w:sz w:val="21"/>
          <w:szCs w:val="21"/>
        </w:rPr>
        <w:t>All’interno del Piano sono stati inseriti tutti i processi caratter</w:t>
      </w:r>
      <w:r>
        <w:rPr>
          <w:rFonts w:ascii="Arial" w:hAnsi="Arial" w:cs="Arial"/>
          <w:sz w:val="21"/>
          <w:szCs w:val="21"/>
        </w:rPr>
        <w:t>izzati da un indice di rischio “medio” o “alto” e comunque tutti i procedimenti di cui al citato art. 1 comma 16, oltre ad altri processi “critici” il cui indice di rischio si è rivelato, ad un esame più approfondito, essere “basso”.</w:t>
      </w:r>
    </w:p>
    <w:p w14:paraId="59FE6726" w14:textId="77777777" w:rsidR="003A719B" w:rsidRDefault="00DF4CA4">
      <w:pPr>
        <w:pStyle w:val="Standard"/>
        <w:spacing w:before="100"/>
        <w:jc w:val="both"/>
      </w:pPr>
      <w:r>
        <w:rPr>
          <w:rFonts w:ascii="Arial" w:hAnsi="Arial" w:cs="Arial"/>
          <w:sz w:val="21"/>
          <w:szCs w:val="21"/>
        </w:rPr>
        <w:t>In quei processi nei q</w:t>
      </w:r>
      <w:r>
        <w:rPr>
          <w:rFonts w:ascii="Arial" w:hAnsi="Arial" w:cs="Arial"/>
          <w:sz w:val="21"/>
          <w:szCs w:val="21"/>
        </w:rPr>
        <w:t>uali si è già attuata, nel corso del 2019, qualche misura innovativa di contenimento e prevenzione del rischio, il rischio stesso è stato rivalutato, in special modo sul fattore della probabilità.</w:t>
      </w:r>
    </w:p>
    <w:p w14:paraId="0FC80901" w14:textId="77777777" w:rsidR="003A719B" w:rsidRDefault="00DF4CA4">
      <w:pPr>
        <w:pStyle w:val="Standard"/>
        <w:spacing w:before="100"/>
        <w:jc w:val="both"/>
        <w:rPr>
          <w:rFonts w:ascii="Arial" w:hAnsi="Arial" w:cs="Arial"/>
          <w:sz w:val="21"/>
          <w:szCs w:val="21"/>
        </w:rPr>
      </w:pPr>
      <w:r>
        <w:rPr>
          <w:rFonts w:ascii="Arial" w:hAnsi="Arial" w:cs="Arial"/>
          <w:sz w:val="21"/>
          <w:szCs w:val="21"/>
        </w:rPr>
        <w:t>Obiettivo primario del Piano Triennale di Prevenzione della</w:t>
      </w:r>
      <w:r>
        <w:rPr>
          <w:rFonts w:ascii="Arial" w:hAnsi="Arial" w:cs="Arial"/>
          <w:sz w:val="21"/>
          <w:szCs w:val="21"/>
        </w:rPr>
        <w:t xml:space="preserve"> Corruzione è garantire nel tempo, attraverso un sistema di controlli preventivi e di misure organizzative, il presidio del processo di monitoraggio e di verifica sull'integrità delle azioni e dei comportamenti del personale.</w:t>
      </w:r>
    </w:p>
    <w:p w14:paraId="080E29EF" w14:textId="77777777" w:rsidR="003A719B" w:rsidRDefault="00DF4CA4">
      <w:pPr>
        <w:pStyle w:val="Standard"/>
        <w:spacing w:before="100"/>
        <w:jc w:val="both"/>
        <w:rPr>
          <w:rFonts w:ascii="Arial" w:hAnsi="Arial" w:cs="Arial"/>
          <w:sz w:val="21"/>
          <w:szCs w:val="21"/>
        </w:rPr>
      </w:pPr>
      <w:r>
        <w:rPr>
          <w:rFonts w:ascii="Arial" w:hAnsi="Arial" w:cs="Arial"/>
          <w:sz w:val="21"/>
          <w:szCs w:val="21"/>
        </w:rPr>
        <w:t>Ciò consente da un lato di pre</w:t>
      </w:r>
      <w:r>
        <w:rPr>
          <w:rFonts w:ascii="Arial" w:hAnsi="Arial" w:cs="Arial"/>
          <w:sz w:val="21"/>
          <w:szCs w:val="21"/>
        </w:rPr>
        <w:t>venire i rischi per danni all'immagine derivanti da comportamenti scorretti o illegali del personale, dall’altro di rendere il sistema di azioni e misure sviluppate efficace e funzionale anche per il presidio della corretta gestione dell’Amministrazione.</w:t>
      </w:r>
    </w:p>
    <w:p w14:paraId="226B5CA4" w14:textId="77777777" w:rsidR="003A719B" w:rsidRDefault="003A719B">
      <w:pPr>
        <w:pStyle w:val="Standard"/>
        <w:spacing w:before="100"/>
        <w:jc w:val="both"/>
        <w:rPr>
          <w:rFonts w:ascii="Arial" w:hAnsi="Arial" w:cs="Arial"/>
          <w:sz w:val="21"/>
          <w:szCs w:val="21"/>
        </w:rPr>
      </w:pPr>
    </w:p>
    <w:p w14:paraId="0BCDB681" w14:textId="77777777" w:rsidR="003A719B" w:rsidRDefault="00DF4CA4">
      <w:pPr>
        <w:pStyle w:val="Titolo2"/>
        <w:rPr>
          <w:i w:val="0"/>
          <w:sz w:val="21"/>
          <w:szCs w:val="21"/>
        </w:rPr>
      </w:pPr>
      <w:bookmarkStart w:id="16" w:name="__RefHeading___Toc1962_761212699"/>
      <w:r>
        <w:rPr>
          <w:i w:val="0"/>
          <w:sz w:val="21"/>
          <w:szCs w:val="21"/>
        </w:rPr>
        <w:t>8.4 AZIONI PREVENTIVE E CONTROLLI</w:t>
      </w:r>
      <w:bookmarkEnd w:id="16"/>
    </w:p>
    <w:p w14:paraId="6DDF2BCE" w14:textId="77777777" w:rsidR="003A719B" w:rsidRDefault="00DF4CA4">
      <w:pPr>
        <w:pStyle w:val="Standard"/>
        <w:tabs>
          <w:tab w:val="left" w:pos="1440"/>
        </w:tabs>
        <w:spacing w:before="100"/>
        <w:jc w:val="both"/>
      </w:pPr>
      <w:r>
        <w:rPr>
          <w:rFonts w:ascii="Arial" w:hAnsi="Arial" w:cs="Arial"/>
          <w:sz w:val="21"/>
          <w:szCs w:val="21"/>
        </w:rPr>
        <w:t xml:space="preserve">Per ognuno dei processi della mappa identificato come “critico” in relazione al proprio indice di rischio, è stato definito un </w:t>
      </w:r>
      <w:r>
        <w:rPr>
          <w:rFonts w:ascii="Arial" w:hAnsi="Arial" w:cs="Arial"/>
          <w:b/>
          <w:sz w:val="21"/>
          <w:szCs w:val="21"/>
        </w:rPr>
        <w:t>piano di azioni</w:t>
      </w:r>
      <w:r>
        <w:rPr>
          <w:rFonts w:ascii="Arial" w:hAnsi="Arial" w:cs="Arial"/>
          <w:sz w:val="21"/>
          <w:szCs w:val="21"/>
        </w:rPr>
        <w:t xml:space="preserve"> che contempli almeno una azione per ogni rischio stimato come prevedibile (cioè</w:t>
      </w:r>
      <w:r>
        <w:rPr>
          <w:rFonts w:ascii="Arial" w:hAnsi="Arial" w:cs="Arial"/>
          <w:sz w:val="21"/>
          <w:szCs w:val="21"/>
        </w:rPr>
        <w:t xml:space="preserve"> con indice di rischio “alto” o “medio”, ma in alcuni casi anche “basso” ma meritevole di attenzione), progettando e sviluppando gli strumenti che rendano efficace tale azione o citando gli strumenti già in essere.</w:t>
      </w:r>
    </w:p>
    <w:p w14:paraId="25A07FD7" w14:textId="77777777" w:rsidR="003A719B" w:rsidRDefault="00DF4CA4">
      <w:pPr>
        <w:pStyle w:val="Standard"/>
        <w:tabs>
          <w:tab w:val="left" w:pos="1440"/>
        </w:tabs>
        <w:spacing w:before="100"/>
        <w:jc w:val="both"/>
      </w:pPr>
      <w:r>
        <w:rPr>
          <w:rFonts w:ascii="Arial" w:hAnsi="Arial" w:cs="Arial"/>
          <w:sz w:val="21"/>
          <w:szCs w:val="21"/>
        </w:rPr>
        <w:t xml:space="preserve">Più specificatamente, per ogni processo, </w:t>
      </w:r>
      <w:r>
        <w:rPr>
          <w:rFonts w:ascii="Arial" w:hAnsi="Arial" w:cs="Arial"/>
          <w:sz w:val="21"/>
          <w:szCs w:val="21"/>
        </w:rPr>
        <w:t xml:space="preserve">sono stati evidenziati i rischi, le azioni preventive, la previsione dei tempi e il titolare della misura. Tale strutturazione delle azioni e quantificazione dei risultati attesi rende possibile il </w:t>
      </w:r>
      <w:r>
        <w:rPr>
          <w:rFonts w:ascii="Arial" w:hAnsi="Arial" w:cs="Arial"/>
          <w:b/>
          <w:sz w:val="21"/>
          <w:szCs w:val="21"/>
        </w:rPr>
        <w:t>monitoraggio periodico del Piano</w:t>
      </w:r>
      <w:r>
        <w:rPr>
          <w:rFonts w:ascii="Arial" w:hAnsi="Arial" w:cs="Arial"/>
          <w:sz w:val="21"/>
          <w:szCs w:val="21"/>
        </w:rPr>
        <w:t xml:space="preserve"> di prevenzione della corr</w:t>
      </w:r>
      <w:r>
        <w:rPr>
          <w:rFonts w:ascii="Arial" w:hAnsi="Arial" w:cs="Arial"/>
          <w:sz w:val="21"/>
          <w:szCs w:val="21"/>
        </w:rPr>
        <w:t>uzione, in relazione alle scadenze temporali e alle responsabilità delle azioni e dei sistemi di controllo messe in evidenza nel piano stesso.</w:t>
      </w:r>
    </w:p>
    <w:p w14:paraId="19551447" w14:textId="77777777" w:rsidR="003A719B" w:rsidRDefault="00DF4CA4">
      <w:pPr>
        <w:pStyle w:val="Standard"/>
        <w:tabs>
          <w:tab w:val="left" w:pos="1440"/>
        </w:tabs>
        <w:spacing w:before="100"/>
        <w:jc w:val="both"/>
        <w:rPr>
          <w:rFonts w:ascii="Arial" w:hAnsi="Arial" w:cs="Arial"/>
          <w:sz w:val="21"/>
          <w:szCs w:val="21"/>
        </w:rPr>
      </w:pPr>
      <w:r>
        <w:rPr>
          <w:rFonts w:ascii="Arial" w:hAnsi="Arial" w:cs="Arial"/>
          <w:sz w:val="21"/>
          <w:szCs w:val="21"/>
        </w:rPr>
        <w:t>Attraverso l’attività di monitoraggio e valutazione dell’attuazione del Piano sarà possibile migliorare nel tempo</w:t>
      </w:r>
      <w:r>
        <w:rPr>
          <w:rFonts w:ascii="Arial" w:hAnsi="Arial" w:cs="Arial"/>
          <w:sz w:val="21"/>
          <w:szCs w:val="21"/>
        </w:rPr>
        <w:t xml:space="preserve"> la sua formalizzazione e la sua efficacia.</w:t>
      </w:r>
    </w:p>
    <w:p w14:paraId="6FF7B1F8" w14:textId="77777777" w:rsidR="003A719B" w:rsidRDefault="003A719B">
      <w:pPr>
        <w:pStyle w:val="Standard"/>
        <w:tabs>
          <w:tab w:val="left" w:pos="1440"/>
        </w:tabs>
        <w:spacing w:before="100"/>
        <w:jc w:val="both"/>
        <w:rPr>
          <w:rFonts w:ascii="Arial" w:hAnsi="Arial" w:cs="Arial"/>
          <w:sz w:val="21"/>
          <w:szCs w:val="21"/>
        </w:rPr>
      </w:pPr>
    </w:p>
    <w:p w14:paraId="0C73708E" w14:textId="77777777" w:rsidR="003A719B" w:rsidRDefault="00DF4CA4">
      <w:pPr>
        <w:pStyle w:val="Titolo2"/>
        <w:rPr>
          <w:i w:val="0"/>
          <w:sz w:val="21"/>
          <w:szCs w:val="21"/>
        </w:rPr>
      </w:pPr>
      <w:bookmarkStart w:id="17" w:name="__RefHeading___Toc1964_761212699"/>
      <w:r>
        <w:rPr>
          <w:i w:val="0"/>
          <w:sz w:val="21"/>
          <w:szCs w:val="21"/>
        </w:rPr>
        <w:lastRenderedPageBreak/>
        <w:t>8.5 STESURA E APPROVAZIONE DEL PTPTC</w:t>
      </w:r>
      <w:bookmarkEnd w:id="17"/>
    </w:p>
    <w:p w14:paraId="43B1BBFF" w14:textId="77777777" w:rsidR="003A719B" w:rsidRDefault="00DF4CA4">
      <w:pPr>
        <w:pStyle w:val="Standard"/>
        <w:spacing w:before="100"/>
        <w:jc w:val="both"/>
        <w:rPr>
          <w:rFonts w:ascii="Arial" w:hAnsi="Arial" w:cs="Arial"/>
          <w:sz w:val="21"/>
          <w:szCs w:val="21"/>
        </w:rPr>
      </w:pPr>
      <w:r>
        <w:rPr>
          <w:rFonts w:ascii="Arial" w:hAnsi="Arial" w:cs="Arial"/>
          <w:sz w:val="21"/>
          <w:szCs w:val="21"/>
        </w:rPr>
        <w:t>La stesura del presente Piano Triennale di prevenzione della corruzione è stata quindi realizzata partendo dal primo Piano approvato nel 2021, mettendo a sistema gran parte d</w:t>
      </w:r>
      <w:r>
        <w:rPr>
          <w:rFonts w:ascii="Arial" w:hAnsi="Arial" w:cs="Arial"/>
          <w:sz w:val="21"/>
          <w:szCs w:val="21"/>
        </w:rPr>
        <w:t>elle azioni operative ivi previste per il 2021, valutando la fattibilità di quelle che dovevano realizzarsi nel corso del 2021 Particolare attenzione è stata posta nel garantire la “fattibilità” delle azioni previste, sia in termini operativi che finanziar</w:t>
      </w:r>
      <w:r>
        <w:rPr>
          <w:rFonts w:ascii="Arial" w:hAnsi="Arial" w:cs="Arial"/>
          <w:sz w:val="21"/>
          <w:szCs w:val="21"/>
        </w:rPr>
        <w:t>i (evitando spese o investimenti non coerenti con le possibilità finanziarie dell’Ente), attraverso la verifica della coerenza rispetto agli altri strumenti di programmazione dell’Ente (Relazione Previsionale e Programmatica, Bilancio di previsione, Atto d</w:t>
      </w:r>
      <w:r>
        <w:rPr>
          <w:rFonts w:ascii="Arial" w:hAnsi="Arial" w:cs="Arial"/>
          <w:sz w:val="21"/>
          <w:szCs w:val="21"/>
        </w:rPr>
        <w:t>i indirizzo generale, ecc.) e tenendo conto delle ridotte dimensioni dell’ente.</w:t>
      </w:r>
    </w:p>
    <w:p w14:paraId="1485F942" w14:textId="77777777" w:rsidR="003A719B" w:rsidRDefault="003A719B">
      <w:pPr>
        <w:pStyle w:val="Standard"/>
        <w:spacing w:before="100"/>
        <w:jc w:val="both"/>
        <w:rPr>
          <w:rFonts w:ascii="Arial" w:hAnsi="Arial" w:cs="Arial"/>
          <w:sz w:val="21"/>
          <w:szCs w:val="21"/>
        </w:rPr>
      </w:pPr>
    </w:p>
    <w:p w14:paraId="72B827B9" w14:textId="77777777" w:rsidR="003A719B" w:rsidRDefault="00DF4CA4">
      <w:pPr>
        <w:pStyle w:val="Titolo2"/>
        <w:rPr>
          <w:i w:val="0"/>
          <w:sz w:val="21"/>
          <w:szCs w:val="21"/>
        </w:rPr>
      </w:pPr>
      <w:bookmarkStart w:id="18" w:name="__RefHeading___Toc1966_761212699"/>
      <w:r>
        <w:rPr>
          <w:i w:val="0"/>
          <w:sz w:val="21"/>
          <w:szCs w:val="21"/>
        </w:rPr>
        <w:t>8.6 FORMAZIONE</w:t>
      </w:r>
      <w:bookmarkEnd w:id="18"/>
    </w:p>
    <w:p w14:paraId="1DD8E0BE" w14:textId="77777777" w:rsidR="003A719B" w:rsidRDefault="00DF4CA4">
      <w:pPr>
        <w:pStyle w:val="Standard"/>
        <w:autoSpaceDE w:val="0"/>
        <w:spacing w:before="100"/>
        <w:jc w:val="both"/>
        <w:rPr>
          <w:rFonts w:ascii="Arial" w:hAnsi="Arial" w:cs="Arial"/>
          <w:sz w:val="21"/>
          <w:szCs w:val="21"/>
        </w:rPr>
      </w:pPr>
      <w:r>
        <w:rPr>
          <w:rFonts w:ascii="Arial" w:hAnsi="Arial" w:cs="Arial"/>
          <w:sz w:val="21"/>
          <w:szCs w:val="21"/>
        </w:rPr>
        <w:t xml:space="preserve">Al fine di massimizzare l’impatto del Piano, anche grazie alla disponibilità del Consorzio dei Comuni Trentini, un’attività di </w:t>
      </w:r>
      <w:r>
        <w:rPr>
          <w:rFonts w:ascii="Arial" w:hAnsi="Arial" w:cs="Arial"/>
          <w:sz w:val="21"/>
          <w:szCs w:val="21"/>
        </w:rPr>
        <w:t>informazione/formazione sui contenuti del Piano rivolta a tutti i dipendenti. La registrazione delle presenze consentirà di assolvere ad uno degli obblighi previsti dalla L. 190/2012 e ribadito dalla circolare della Funzione Pubblica del 25 gennaio 2013.</w:t>
      </w:r>
    </w:p>
    <w:p w14:paraId="2432884E" w14:textId="77777777" w:rsidR="003A719B" w:rsidRDefault="00DF4CA4">
      <w:pPr>
        <w:pStyle w:val="Standard"/>
        <w:autoSpaceDE w:val="0"/>
        <w:spacing w:before="100"/>
        <w:jc w:val="both"/>
      </w:pPr>
      <w:r>
        <w:rPr>
          <w:rFonts w:ascii="Arial" w:hAnsi="Arial" w:cs="Arial"/>
          <w:sz w:val="21"/>
          <w:szCs w:val="21"/>
        </w:rPr>
        <w:t>S</w:t>
      </w:r>
      <w:r>
        <w:rPr>
          <w:rFonts w:ascii="Arial" w:hAnsi="Arial" w:cs="Arial"/>
          <w:sz w:val="21"/>
          <w:szCs w:val="21"/>
        </w:rPr>
        <w:t>aranno programmati anche nel triennio 2022-2024, grazie alla collaborazione progettuale del Consorzio dei Comuni, interventi formativi obbligatori per il personale e per gli amministratori sulle tematiche della trasparenza, dell’integrità e del nuovo acces</w:t>
      </w:r>
      <w:r>
        <w:rPr>
          <w:rFonts w:ascii="Arial" w:hAnsi="Arial" w:cs="Arial"/>
          <w:sz w:val="21"/>
          <w:szCs w:val="21"/>
        </w:rPr>
        <w:t>so civico, sia dal punto di vista della conoscenza della normativa e degli strumenti previsti nel Piano che dal punto di vista valoriale, in modo da accrescere la consapevolezza del senso etico nell’agire quotidiano nell’organizzazione e nei rapporti con l</w:t>
      </w:r>
      <w:r>
        <w:rPr>
          <w:rFonts w:ascii="Arial" w:hAnsi="Arial" w:cs="Arial"/>
          <w:sz w:val="21"/>
          <w:szCs w:val="21"/>
        </w:rPr>
        <w:t>’utenza</w:t>
      </w:r>
    </w:p>
    <w:p w14:paraId="41A3E36A" w14:textId="77777777" w:rsidR="003A719B" w:rsidRDefault="003A719B">
      <w:pPr>
        <w:pStyle w:val="Standard"/>
        <w:autoSpaceDE w:val="0"/>
        <w:spacing w:before="100"/>
        <w:jc w:val="both"/>
        <w:rPr>
          <w:rFonts w:ascii="Arial" w:hAnsi="Arial" w:cs="Arial"/>
          <w:sz w:val="21"/>
          <w:szCs w:val="21"/>
        </w:rPr>
      </w:pPr>
    </w:p>
    <w:p w14:paraId="4758337F" w14:textId="77777777" w:rsidR="003A719B" w:rsidRDefault="00DF4CA4">
      <w:pPr>
        <w:pStyle w:val="Titolo1"/>
      </w:pPr>
      <w:bookmarkStart w:id="19" w:name="__RefHeading___Toc1968_761212699"/>
      <w:r>
        <w:rPr>
          <w:rFonts w:ascii="Arial" w:hAnsi="Arial" w:cs="Arial"/>
          <w:sz w:val="24"/>
          <w:szCs w:val="24"/>
        </w:rPr>
        <w:t>9. LE MISURE ORGANIZZATIVE DI CARATTERE GENERALE</w:t>
      </w:r>
      <w:bookmarkEnd w:id="19"/>
    </w:p>
    <w:p w14:paraId="1DBC6EBF" w14:textId="77777777" w:rsidR="003A719B" w:rsidRDefault="00DF4CA4">
      <w:pPr>
        <w:pStyle w:val="Standard"/>
        <w:spacing w:before="100"/>
        <w:jc w:val="both"/>
        <w:rPr>
          <w:rFonts w:ascii="Arial" w:hAnsi="Arial" w:cs="Arial"/>
          <w:sz w:val="21"/>
          <w:szCs w:val="21"/>
        </w:rPr>
      </w:pPr>
      <w:r>
        <w:rPr>
          <w:rFonts w:ascii="Arial" w:hAnsi="Arial" w:cs="Arial"/>
          <w:sz w:val="21"/>
          <w:szCs w:val="21"/>
        </w:rPr>
        <w:t>Si riportano di seguito le misure organizzative di carattere generale che l’Amministrazione Comunale intende mettere in atto, in coerenza con quanto previsto dalla L. 190/2012 e con la propria dimen</w:t>
      </w:r>
      <w:r>
        <w:rPr>
          <w:rFonts w:ascii="Arial" w:hAnsi="Arial" w:cs="Arial"/>
          <w:sz w:val="21"/>
          <w:szCs w:val="21"/>
        </w:rPr>
        <w:t>sione organizzativa.</w:t>
      </w:r>
    </w:p>
    <w:p w14:paraId="60F16688" w14:textId="77777777" w:rsidR="003A719B" w:rsidRDefault="003A719B">
      <w:pPr>
        <w:pStyle w:val="Default"/>
        <w:spacing w:before="100" w:after="0" w:line="240" w:lineRule="auto"/>
        <w:rPr>
          <w:rFonts w:ascii="Arial" w:hAnsi="Arial" w:cs="Arial"/>
          <w:sz w:val="21"/>
          <w:szCs w:val="21"/>
        </w:rPr>
      </w:pPr>
    </w:p>
    <w:p w14:paraId="27F764BF" w14:textId="77777777" w:rsidR="003A719B" w:rsidRDefault="00DF4CA4">
      <w:pPr>
        <w:pStyle w:val="Titolo2"/>
        <w:rPr>
          <w:i w:val="0"/>
          <w:sz w:val="21"/>
          <w:szCs w:val="21"/>
        </w:rPr>
      </w:pPr>
      <w:bookmarkStart w:id="20" w:name="__RefHeading___Toc1970_761212699"/>
      <w:r>
        <w:rPr>
          <w:i w:val="0"/>
          <w:sz w:val="21"/>
          <w:szCs w:val="21"/>
        </w:rPr>
        <w:t>9.1. ROTAZIONE DEL PERSONALE</w:t>
      </w:r>
      <w:bookmarkEnd w:id="20"/>
    </w:p>
    <w:p w14:paraId="58E0B818"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t>Rispetto a quanto auspicato dalla normativa in merito all’adozione di adeguati sistemi di rotazione del personale addetto alle aree a rischio, si rileva la materiale impossibilità di procedere in tal senso</w:t>
      </w:r>
      <w:r>
        <w:rPr>
          <w:rFonts w:ascii="Arial" w:hAnsi="Arial" w:cs="Arial"/>
          <w:sz w:val="21"/>
          <w:szCs w:val="21"/>
        </w:rPr>
        <w:t xml:space="preserve"> alla luce dell’esiguità della propria dotazione organica.</w:t>
      </w:r>
    </w:p>
    <w:p w14:paraId="40036036"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t xml:space="preserve">Pur tuttavia, l’amministrazione comunale si impegna a valutare nel medio periodo la possibilità di rinforzare attraverso specifici interventi formativi e laddove possibile una parziale </w:t>
      </w:r>
      <w:r>
        <w:rPr>
          <w:rFonts w:ascii="Arial" w:hAnsi="Arial" w:cs="Arial"/>
          <w:sz w:val="21"/>
          <w:szCs w:val="21"/>
        </w:rPr>
        <w:t>fungibilità degli addetti nei processi a contatto con la cittadinanza. Si cercherà di sopperire a tale impossibilità tramite il rinforzo dell’attività di controllo così come evidenziata nello specifico nelle azioni messe in campo nella seconda parte del pr</w:t>
      </w:r>
      <w:r>
        <w:rPr>
          <w:rFonts w:ascii="Arial" w:hAnsi="Arial" w:cs="Arial"/>
          <w:sz w:val="21"/>
          <w:szCs w:val="21"/>
        </w:rPr>
        <w:t>esente Piano.</w:t>
      </w:r>
    </w:p>
    <w:p w14:paraId="5C8EDC3F" w14:textId="77777777" w:rsidR="003A719B" w:rsidRDefault="00DF4CA4">
      <w:pPr>
        <w:pStyle w:val="Standard"/>
        <w:spacing w:before="100"/>
        <w:jc w:val="both"/>
      </w:pPr>
      <w:r>
        <w:rPr>
          <w:rFonts w:ascii="Arial" w:hAnsi="Arial" w:cs="Arial"/>
          <w:sz w:val="21"/>
          <w:szCs w:val="21"/>
        </w:rPr>
        <w:t>L’aspetto</w:t>
      </w:r>
      <w:r>
        <w:rPr>
          <w:rFonts w:ascii="Arial" w:hAnsi="Arial" w:cs="Arial"/>
          <w:b/>
          <w:sz w:val="21"/>
          <w:szCs w:val="21"/>
        </w:rPr>
        <w:t xml:space="preserve"> </w:t>
      </w:r>
      <w:r>
        <w:rPr>
          <w:rFonts w:ascii="Arial" w:hAnsi="Arial" w:cs="Arial"/>
          <w:sz w:val="21"/>
          <w:szCs w:val="21"/>
        </w:rPr>
        <w:t xml:space="preserve">formativo si ritiene essenziale per il mantenimento e lo sviluppo del Piano nel tempo, pertanto, dato atto che la L. 190/2012 attribuisce particolare importanza alla formazione del personale addetto alle aree a più elevato rischio, </w:t>
      </w:r>
      <w:r>
        <w:rPr>
          <w:rFonts w:ascii="Arial" w:hAnsi="Arial" w:cs="Arial"/>
          <w:sz w:val="21"/>
          <w:szCs w:val="21"/>
        </w:rPr>
        <w:t>si presta – relativamente alla formazione - particolare attenzione alle tematiche della trasparenza e della integrità, sia dal punto di vista della conoscenza della normativa e degli strumenti previsti nel Piano che dal punto di vista valoriale, in modo da</w:t>
      </w:r>
      <w:r>
        <w:rPr>
          <w:rFonts w:ascii="Arial" w:hAnsi="Arial" w:cs="Arial"/>
          <w:sz w:val="21"/>
          <w:szCs w:val="21"/>
        </w:rPr>
        <w:t xml:space="preserve"> accrescere sempre più lo sviluppo del senso etico.</w:t>
      </w:r>
    </w:p>
    <w:p w14:paraId="6FA4348D" w14:textId="77777777" w:rsidR="003A719B" w:rsidRDefault="003A719B">
      <w:pPr>
        <w:pStyle w:val="Default"/>
        <w:spacing w:before="100" w:after="0" w:line="240" w:lineRule="auto"/>
        <w:rPr>
          <w:rFonts w:ascii="Arial" w:hAnsi="Arial" w:cs="Arial"/>
          <w:sz w:val="21"/>
          <w:szCs w:val="21"/>
        </w:rPr>
      </w:pPr>
    </w:p>
    <w:p w14:paraId="0980F2FF" w14:textId="77777777" w:rsidR="003A719B" w:rsidRDefault="00DF4CA4">
      <w:pPr>
        <w:pStyle w:val="Titolo2"/>
        <w:rPr>
          <w:i w:val="0"/>
        </w:rPr>
      </w:pPr>
      <w:bookmarkStart w:id="21" w:name="__RefHeading___Toc1972_761212699"/>
      <w:r>
        <w:rPr>
          <w:i w:val="0"/>
        </w:rPr>
        <w:t>9.2 TRASPARENZA</w:t>
      </w:r>
      <w:bookmarkEnd w:id="21"/>
    </w:p>
    <w:p w14:paraId="32F6D829"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t>L’Amministrazione si impegna – partendo da quanto indicato nell’art. 1 comma 9 della L. 190/2012 – a applicare operativamente le prescrizioni in tema di trasparenza secondo quanto previst</w:t>
      </w:r>
      <w:r>
        <w:rPr>
          <w:rFonts w:ascii="Arial" w:hAnsi="Arial" w:cs="Arial"/>
          <w:sz w:val="21"/>
          <w:szCs w:val="21"/>
        </w:rPr>
        <w:t>o dall’art.7 della Legge regionale 13 dicembre 2012, n. 8 (Amministrazione Aperta), così come modificata dalla Legge Regionale 29 ottobre 2014 n.10, tenendo altresì conto delle disposizioni specifiche in materia adottate in sede provinciale ai sensi dell’a</w:t>
      </w:r>
      <w:r>
        <w:rPr>
          <w:rFonts w:ascii="Arial" w:hAnsi="Arial" w:cs="Arial"/>
          <w:sz w:val="21"/>
          <w:szCs w:val="21"/>
        </w:rPr>
        <w:t>rticolo 59 della legge regionale 22 dicembre 2004, n. 7.</w:t>
      </w:r>
    </w:p>
    <w:p w14:paraId="42CF6739"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lastRenderedPageBreak/>
        <w:t>Ad ogni buon fine si dà atto che all’interno di ogni ufficio sarà individuato un dipendente cui sono state affidate le mansioni relative al popolamento del sito web istituzionale nella sezione Ammini</w:t>
      </w:r>
      <w:r>
        <w:rPr>
          <w:rFonts w:ascii="Arial" w:hAnsi="Arial" w:cs="Arial"/>
          <w:sz w:val="21"/>
          <w:szCs w:val="21"/>
        </w:rPr>
        <w:t>strazione trasparente.</w:t>
      </w:r>
    </w:p>
    <w:p w14:paraId="29B7D6BE" w14:textId="77777777" w:rsidR="003A719B" w:rsidRDefault="00DF4CA4">
      <w:pPr>
        <w:pStyle w:val="Default"/>
        <w:spacing w:before="100" w:after="0" w:line="240" w:lineRule="auto"/>
        <w:rPr>
          <w:rFonts w:ascii="Arial" w:hAnsi="Arial" w:cs="Arial"/>
          <w:color w:val="auto"/>
          <w:sz w:val="21"/>
          <w:szCs w:val="21"/>
        </w:rPr>
      </w:pPr>
      <w:r>
        <w:rPr>
          <w:rFonts w:ascii="Arial" w:hAnsi="Arial" w:cs="Arial"/>
          <w:color w:val="auto"/>
          <w:sz w:val="21"/>
          <w:szCs w:val="21"/>
        </w:rPr>
        <w:t>Tutti gli uffici comunali dovranno dare attuazione agli obblighi di trasparenza di propria competenza di cui all'allegato “Elenco obblighi di pubblicazione in Amministrazione Trasparente” e disciplinati dal d.lgs. n. 33/2013, così co</w:t>
      </w:r>
      <w:r>
        <w:rPr>
          <w:rFonts w:ascii="Arial" w:hAnsi="Arial" w:cs="Arial"/>
          <w:color w:val="auto"/>
          <w:sz w:val="21"/>
          <w:szCs w:val="21"/>
        </w:rPr>
        <w:t>me novellato dal d.lgs. n. 97/2016.</w:t>
      </w:r>
    </w:p>
    <w:p w14:paraId="0CB5F31F" w14:textId="77777777" w:rsidR="003A719B" w:rsidRDefault="00DF4CA4">
      <w:pPr>
        <w:pStyle w:val="Default"/>
        <w:spacing w:before="100" w:after="0" w:line="240" w:lineRule="auto"/>
      </w:pPr>
      <w:r>
        <w:rPr>
          <w:rFonts w:ascii="Arial" w:hAnsi="Arial" w:cs="Arial"/>
          <w:color w:val="auto"/>
          <w:sz w:val="21"/>
          <w:szCs w:val="21"/>
        </w:rPr>
        <w:t>Per quanto concerne le modalità di gestione e di individuazione dei flussi informativi relativamente agli obblighi di pubblicazione nelle pagine del sito istituzionale, “Amministrazione Trasparente”, sono individuati nel</w:t>
      </w:r>
      <w:r>
        <w:rPr>
          <w:rFonts w:ascii="Arial" w:hAnsi="Arial" w:cs="Arial"/>
          <w:color w:val="auto"/>
          <w:sz w:val="21"/>
          <w:szCs w:val="21"/>
        </w:rPr>
        <w:t>l'allegato “Elenco obblighi di pubblicazione in Amministrazione Trasparente”;</w:t>
      </w:r>
      <w:r>
        <w:rPr>
          <w:rFonts w:ascii="Arial" w:hAnsi="Arial" w:cs="Arial"/>
          <w:i/>
          <w:iCs/>
          <w:color w:val="auto"/>
          <w:sz w:val="21"/>
          <w:szCs w:val="21"/>
        </w:rPr>
        <w:t xml:space="preserve"> </w:t>
      </w:r>
      <w:r>
        <w:rPr>
          <w:rFonts w:ascii="Arial" w:hAnsi="Arial" w:cs="Arial"/>
          <w:color w:val="auto"/>
          <w:sz w:val="21"/>
          <w:szCs w:val="21"/>
        </w:rPr>
        <w:t>per ogni singolo obbligo, il riferimento normativo, la descrizione dell'obbligo di pubblicazione, i soggetti responsabili delle singole azioni (produzione, trasmissione, pubblica</w:t>
      </w:r>
      <w:r>
        <w:rPr>
          <w:rFonts w:ascii="Arial" w:hAnsi="Arial" w:cs="Arial"/>
          <w:color w:val="auto"/>
          <w:sz w:val="21"/>
          <w:szCs w:val="21"/>
        </w:rPr>
        <w:t>zione e aggiornamento), la durata e le modalità di aggiornamento.</w:t>
      </w:r>
    </w:p>
    <w:p w14:paraId="3B3C934D" w14:textId="77777777" w:rsidR="003A719B" w:rsidRDefault="00DF4CA4">
      <w:pPr>
        <w:pStyle w:val="Default"/>
        <w:spacing w:before="100" w:after="0" w:line="240" w:lineRule="auto"/>
      </w:pPr>
      <w:r>
        <w:rPr>
          <w:rFonts w:ascii="Arial" w:hAnsi="Arial" w:cs="Arial"/>
          <w:color w:val="auto"/>
          <w:sz w:val="21"/>
          <w:szCs w:val="21"/>
        </w:rPr>
        <w:t>Per garantire la corretta e puntuale attuazione degli obblighi di pubblicazione di cui all'allegato “Elenco obblighi di pubblicazione in Amministrazione Trasparente” il Responsabile della Pr</w:t>
      </w:r>
      <w:r>
        <w:rPr>
          <w:rFonts w:ascii="Arial" w:hAnsi="Arial" w:cs="Arial"/>
          <w:color w:val="auto"/>
          <w:sz w:val="21"/>
          <w:szCs w:val="21"/>
        </w:rPr>
        <w:t>evenzione della Corruzione e della Trasparenza, provvederà nel corso del 2021 ad effettuare n.2 monitoraggi con cadenza semestrale vigilerà sull'aggiornamento delle pagine della sezione “Amministrazione Trasparente” nel sito istituzionale.</w:t>
      </w:r>
    </w:p>
    <w:p w14:paraId="1DEBBCCD" w14:textId="77777777" w:rsidR="003A719B" w:rsidRDefault="00DF4CA4">
      <w:pPr>
        <w:pStyle w:val="Default"/>
        <w:spacing w:before="100" w:after="0" w:line="240" w:lineRule="auto"/>
        <w:rPr>
          <w:rFonts w:ascii="Arial" w:hAnsi="Arial" w:cs="Arial"/>
          <w:color w:val="auto"/>
          <w:sz w:val="21"/>
          <w:szCs w:val="21"/>
        </w:rPr>
      </w:pPr>
      <w:r>
        <w:rPr>
          <w:rFonts w:ascii="Arial" w:hAnsi="Arial" w:cs="Arial"/>
          <w:color w:val="auto"/>
          <w:sz w:val="21"/>
          <w:szCs w:val="21"/>
        </w:rPr>
        <w:t xml:space="preserve">Gli stessi </w:t>
      </w:r>
      <w:r>
        <w:rPr>
          <w:rFonts w:ascii="Arial" w:hAnsi="Arial" w:cs="Arial"/>
          <w:color w:val="auto"/>
          <w:sz w:val="21"/>
          <w:szCs w:val="21"/>
        </w:rPr>
        <w:t>uffici sono tenuti altresì a dare corretta e puntuale attuazione, nella materia di propria competenza, alle istanze di accesso civico generalizzato.</w:t>
      </w:r>
    </w:p>
    <w:p w14:paraId="77B6D76A" w14:textId="77777777" w:rsidR="003A719B" w:rsidRDefault="00DF4CA4">
      <w:pPr>
        <w:pStyle w:val="Default"/>
        <w:spacing w:before="100" w:after="0" w:line="240" w:lineRule="auto"/>
      </w:pPr>
      <w:r>
        <w:rPr>
          <w:rFonts w:ascii="Arial" w:hAnsi="Arial" w:cs="Arial"/>
          <w:color w:val="auto"/>
          <w:sz w:val="21"/>
          <w:szCs w:val="21"/>
        </w:rPr>
        <w:t>L’Amministrazione si impegna ad aggiornare entro i 31.12.2021 il registro degli accessi contenente l’elenco</w:t>
      </w:r>
      <w:r>
        <w:rPr>
          <w:rFonts w:ascii="Arial" w:hAnsi="Arial" w:cs="Arial"/>
          <w:color w:val="auto"/>
          <w:sz w:val="21"/>
          <w:szCs w:val="21"/>
        </w:rPr>
        <w:t xml:space="preserve"> delle richieste con l’oggetto, la data di richiesta, il relativo esito e la data della decisione ed è pubblicato, oscurando i dati personali eventualmente presenti, e tenuto aggiornato almeno ogni sei mesi nella sezione Amministrazione trasparente, “altri</w:t>
      </w:r>
      <w:r>
        <w:rPr>
          <w:rFonts w:ascii="Arial" w:hAnsi="Arial" w:cs="Arial"/>
          <w:color w:val="auto"/>
          <w:sz w:val="21"/>
          <w:szCs w:val="21"/>
        </w:rPr>
        <w:t xml:space="preserve"> contenuti – accesso civico” del sito web istituzionale. La pubblicazione del registro degli accessi sarà utile al Comune di Novella in quanto consente di rendere noto su quali documenti, dati o informazioni è stato consentito l’accesso in una logica di se</w:t>
      </w:r>
      <w:r>
        <w:rPr>
          <w:rFonts w:ascii="Arial" w:hAnsi="Arial" w:cs="Arial"/>
          <w:color w:val="auto"/>
          <w:sz w:val="21"/>
          <w:szCs w:val="21"/>
        </w:rPr>
        <w:t>mplificazione delle attività.</w:t>
      </w:r>
    </w:p>
    <w:p w14:paraId="3C7300A2" w14:textId="77777777" w:rsidR="003A719B" w:rsidRDefault="003A719B">
      <w:pPr>
        <w:pStyle w:val="Default"/>
        <w:spacing w:before="100" w:after="0" w:line="240" w:lineRule="auto"/>
        <w:rPr>
          <w:rFonts w:ascii="Arial" w:hAnsi="Arial" w:cs="Arial"/>
          <w:sz w:val="21"/>
          <w:szCs w:val="21"/>
        </w:rPr>
      </w:pPr>
    </w:p>
    <w:p w14:paraId="22EC1BE6" w14:textId="77777777" w:rsidR="003A719B" w:rsidRDefault="00DF4CA4">
      <w:pPr>
        <w:pStyle w:val="Titolo2"/>
        <w:rPr>
          <w:i w:val="0"/>
          <w:sz w:val="21"/>
          <w:szCs w:val="21"/>
        </w:rPr>
      </w:pPr>
      <w:bookmarkStart w:id="22" w:name="__RefHeading___Toc1974_761212699"/>
      <w:r>
        <w:rPr>
          <w:i w:val="0"/>
          <w:sz w:val="21"/>
          <w:szCs w:val="21"/>
        </w:rPr>
        <w:t>9.3. TUTELA DEL DIPENDENTE CHE SEGNALA ILLECITI (WHISTLEBLOWER)</w:t>
      </w:r>
      <w:bookmarkEnd w:id="22"/>
    </w:p>
    <w:p w14:paraId="56F70040" w14:textId="77777777" w:rsidR="003A719B" w:rsidRDefault="00DF4CA4">
      <w:pPr>
        <w:pStyle w:val="Default"/>
        <w:spacing w:before="100" w:after="0" w:line="240" w:lineRule="auto"/>
      </w:pPr>
      <w:r>
        <w:rPr>
          <w:rFonts w:ascii="Arial" w:hAnsi="Arial" w:cs="Arial"/>
          <w:color w:val="auto"/>
          <w:sz w:val="21"/>
          <w:szCs w:val="21"/>
        </w:rPr>
        <w:t xml:space="preserve">Il RPCT si è impegnato ad applicare effettivamente la normativa sulla segnalazione da parte del </w:t>
      </w:r>
      <w:r>
        <w:rPr>
          <w:rFonts w:ascii="Arial" w:hAnsi="Arial" w:cs="Arial"/>
          <w:sz w:val="21"/>
          <w:szCs w:val="21"/>
        </w:rPr>
        <w:t>dipendente di condotte illecite di cui sia venuto a conoscenza, d</w:t>
      </w:r>
      <w:r>
        <w:rPr>
          <w:rFonts w:ascii="Arial" w:hAnsi="Arial" w:cs="Arial"/>
          <w:sz w:val="21"/>
          <w:szCs w:val="21"/>
        </w:rPr>
        <w:t>i cui all’art. 54-bis del d.gls. n. 165/2001 e della legge n. 197/2017. A tal fine è stata diramata specifica circolare con la quale vengono evidenziate le procedure da seguire per la segnalazione di illeciti o irregolarità e la disciplina della tutela del</w:t>
      </w:r>
      <w:r>
        <w:rPr>
          <w:rFonts w:ascii="Arial" w:hAnsi="Arial" w:cs="Arial"/>
          <w:sz w:val="21"/>
          <w:szCs w:val="21"/>
        </w:rPr>
        <w:t xml:space="preserve"> dipendente che segnala tali leciti (WHISTLEBLOWER).</w:t>
      </w:r>
    </w:p>
    <w:p w14:paraId="5CD16BD8" w14:textId="77777777" w:rsidR="003A719B" w:rsidRDefault="00DF4CA4">
      <w:pPr>
        <w:pStyle w:val="Default"/>
        <w:spacing w:before="100" w:after="0" w:line="240" w:lineRule="auto"/>
      </w:pPr>
      <w:r>
        <w:rPr>
          <w:rFonts w:ascii="Arial" w:hAnsi="Arial" w:cs="Arial"/>
          <w:color w:val="auto"/>
          <w:sz w:val="21"/>
          <w:szCs w:val="21"/>
        </w:rPr>
        <w:t>L’Amministrazione si impegna a ricercare soluzioni di gestione delle segnalazioni anche eventuali possibilità di riuso gratuito de</w:t>
      </w:r>
      <w:r>
        <w:rPr>
          <w:rFonts w:ascii="Arial" w:hAnsi="Arial" w:cs="Arial"/>
          <w:b/>
          <w:color w:val="auto"/>
          <w:sz w:val="21"/>
          <w:szCs w:val="21"/>
        </w:rPr>
        <w:t>l</w:t>
      </w:r>
      <w:r>
        <w:rPr>
          <w:rFonts w:ascii="Arial" w:hAnsi="Arial" w:cs="Arial"/>
          <w:color w:val="auto"/>
          <w:sz w:val="21"/>
          <w:szCs w:val="21"/>
        </w:rPr>
        <w:t xml:space="preserve"> software da altre Pubbliche Amministrazioni, ai sensi dell’art. 69 del </w:t>
      </w:r>
      <w:r>
        <w:rPr>
          <w:rFonts w:ascii="Arial" w:hAnsi="Arial" w:cs="Arial"/>
          <w:color w:val="auto"/>
          <w:sz w:val="21"/>
          <w:szCs w:val="21"/>
        </w:rPr>
        <w:t>CAD.</w:t>
      </w:r>
    </w:p>
    <w:p w14:paraId="69231A14" w14:textId="77777777" w:rsidR="003A719B" w:rsidRDefault="003A719B">
      <w:pPr>
        <w:pStyle w:val="Default"/>
        <w:spacing w:before="100" w:after="0" w:line="240" w:lineRule="auto"/>
        <w:rPr>
          <w:rFonts w:ascii="Arial" w:hAnsi="Arial" w:cs="Arial"/>
          <w:sz w:val="21"/>
          <w:szCs w:val="21"/>
        </w:rPr>
      </w:pPr>
    </w:p>
    <w:p w14:paraId="02AC5E97" w14:textId="77777777" w:rsidR="003A719B" w:rsidRDefault="00DF4CA4">
      <w:pPr>
        <w:pStyle w:val="Titolo2"/>
        <w:rPr>
          <w:i w:val="0"/>
          <w:sz w:val="21"/>
          <w:szCs w:val="21"/>
        </w:rPr>
      </w:pPr>
      <w:bookmarkStart w:id="23" w:name="__RefHeading___Toc1976_761212699"/>
      <w:r>
        <w:rPr>
          <w:i w:val="0"/>
          <w:sz w:val="21"/>
          <w:szCs w:val="21"/>
        </w:rPr>
        <w:t>9.4 IL CODICE DI COMPORTAMENTO</w:t>
      </w:r>
      <w:bookmarkEnd w:id="23"/>
    </w:p>
    <w:p w14:paraId="29B57ADB"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t xml:space="preserve">L’amministrazione si è impegnata ad adottare le misure che garantiscano il rispetto dei principi dettati dalle norme del codice di comportamento dei dipendenti delle pubbliche amministrazioni di cui al D.P.R. 16 aprile </w:t>
      </w:r>
      <w:r>
        <w:rPr>
          <w:rFonts w:ascii="Arial" w:hAnsi="Arial" w:cs="Arial"/>
          <w:sz w:val="21"/>
          <w:szCs w:val="21"/>
        </w:rPr>
        <w:t>2013, n. 62, approvate con deliberazione giuntale nr. 95/2014, non solo da parte dei propri dipendenti, ma anche, laddove compatibili, da parte di tutti i collaboratori dell’amministrazione, dei titolari di organi e di incarichi negli uffici di diretta col</w:t>
      </w:r>
      <w:r>
        <w:rPr>
          <w:rFonts w:ascii="Arial" w:hAnsi="Arial" w:cs="Arial"/>
          <w:sz w:val="21"/>
          <w:szCs w:val="21"/>
        </w:rPr>
        <w:t>laborazione delle autorità, dei collaboratori a qualsiasi titolo di imprese fornitrici di beni o servizi o che realizzano opere in favore dell’amministrazione così come recepiti in sede di Autonomia provinciale e regionale.</w:t>
      </w:r>
    </w:p>
    <w:p w14:paraId="3236FFA6" w14:textId="77777777" w:rsidR="003A719B" w:rsidRDefault="00DF4CA4">
      <w:pPr>
        <w:pStyle w:val="Default"/>
        <w:spacing w:before="100" w:after="0" w:line="240" w:lineRule="auto"/>
        <w:rPr>
          <w:rFonts w:ascii="Arial" w:hAnsi="Arial" w:cs="Arial"/>
          <w:sz w:val="21"/>
          <w:szCs w:val="21"/>
        </w:rPr>
      </w:pPr>
      <w:r>
        <w:rPr>
          <w:rFonts w:ascii="Arial" w:hAnsi="Arial" w:cs="Arial"/>
          <w:sz w:val="21"/>
          <w:szCs w:val="21"/>
        </w:rPr>
        <w:t>Nei modelli di lettera di invito</w:t>
      </w:r>
      <w:r>
        <w:rPr>
          <w:rFonts w:ascii="Arial" w:hAnsi="Arial" w:cs="Arial"/>
          <w:sz w:val="21"/>
          <w:szCs w:val="21"/>
        </w:rPr>
        <w:t xml:space="preserve"> e nei capitolati d’appalto si fa riferimento all’obbligo di osservanza del codice di comportamento del Comune di Novella.</w:t>
      </w:r>
    </w:p>
    <w:p w14:paraId="02FA56DB" w14:textId="77777777" w:rsidR="003A719B" w:rsidRDefault="00DF4CA4">
      <w:pPr>
        <w:pStyle w:val="Default"/>
        <w:spacing w:before="100" w:after="0" w:line="240" w:lineRule="auto"/>
      </w:pPr>
      <w:r>
        <w:rPr>
          <w:rFonts w:ascii="Arial" w:hAnsi="Arial" w:cs="Arial"/>
          <w:sz w:val="21"/>
          <w:szCs w:val="21"/>
        </w:rPr>
        <w:t>L’Amministrazione si è impegnata ad adottare le misure necessarie all’effettiva attivazione della responsabilità disciplinare dei dip</w:t>
      </w:r>
      <w:r>
        <w:rPr>
          <w:rFonts w:ascii="Arial" w:hAnsi="Arial" w:cs="Arial"/>
          <w:sz w:val="21"/>
          <w:szCs w:val="21"/>
        </w:rPr>
        <w:t xml:space="preserve">endenti, in caso di violazione dei doveri di comportamento, </w:t>
      </w:r>
      <w:r>
        <w:rPr>
          <w:rFonts w:ascii="Arial" w:hAnsi="Arial" w:cs="Arial"/>
          <w:bCs/>
          <w:sz w:val="21"/>
          <w:szCs w:val="21"/>
        </w:rPr>
        <w:t>ivi incluso il dovere di rispettare le prescrizioni contenute nel piano triennale.</w:t>
      </w:r>
    </w:p>
    <w:p w14:paraId="58E2B0FA" w14:textId="77777777" w:rsidR="003A719B" w:rsidRDefault="00DF4CA4">
      <w:pPr>
        <w:pStyle w:val="Default"/>
        <w:spacing w:before="100" w:after="0" w:line="240" w:lineRule="auto"/>
      </w:pPr>
      <w:r>
        <w:rPr>
          <w:rFonts w:ascii="Arial" w:hAnsi="Arial" w:cs="Arial"/>
          <w:sz w:val="21"/>
          <w:szCs w:val="21"/>
        </w:rPr>
        <w:t>L’Ente si impegna, nel corso del 2022 e qualora se ne ravvisasse la necessità sulla base del monitoraggio dei pia</w:t>
      </w:r>
      <w:r>
        <w:rPr>
          <w:rFonts w:ascii="Arial" w:hAnsi="Arial" w:cs="Arial"/>
          <w:sz w:val="21"/>
          <w:szCs w:val="21"/>
        </w:rPr>
        <w:t>ni degli anni precedenti, eventualmente a rivisitare il Codice di comportamento nelle aree di rischio perle quali dovessero essere evidenziate situazioni di criticità.</w:t>
      </w:r>
    </w:p>
    <w:p w14:paraId="0BAC411D" w14:textId="77777777" w:rsidR="003A719B" w:rsidRDefault="00DF4CA4">
      <w:pPr>
        <w:pStyle w:val="Titolo2"/>
        <w:rPr>
          <w:i w:val="0"/>
          <w:sz w:val="21"/>
          <w:szCs w:val="21"/>
        </w:rPr>
      </w:pPr>
      <w:bookmarkStart w:id="24" w:name="__RefHeading___Toc1978_761212699"/>
      <w:r>
        <w:rPr>
          <w:i w:val="0"/>
          <w:sz w:val="21"/>
          <w:szCs w:val="21"/>
        </w:rPr>
        <w:lastRenderedPageBreak/>
        <w:t>9.5. INCARICHI EXTRAISTITUZIONALI</w:t>
      </w:r>
      <w:bookmarkEnd w:id="24"/>
    </w:p>
    <w:p w14:paraId="6A4ABB4B" w14:textId="77777777" w:rsidR="003A719B" w:rsidRDefault="00DF4CA4">
      <w:pPr>
        <w:pStyle w:val="NormaleWebArial"/>
        <w:spacing w:before="100" w:line="240" w:lineRule="auto"/>
      </w:pPr>
      <w:r>
        <w:rPr>
          <w:rFonts w:ascii="Arial" w:hAnsi="Arial" w:cs="Arial"/>
          <w:b w:val="0"/>
          <w:sz w:val="21"/>
          <w:szCs w:val="21"/>
          <w:shd w:val="clear" w:color="auto" w:fill="FFFFFF"/>
        </w:rPr>
        <w:t>Il cumulo in capo ad un medesimo dipendente di incaric</w:t>
      </w:r>
      <w:r>
        <w:rPr>
          <w:rFonts w:ascii="Arial" w:hAnsi="Arial" w:cs="Arial"/>
          <w:b w:val="0"/>
          <w:sz w:val="21"/>
          <w:szCs w:val="21"/>
          <w:shd w:val="clear" w:color="auto" w:fill="FFFFFF"/>
        </w:rPr>
        <w:t>hi conferiti dall’Amministrazione può comportare un’eccessiva concentrazione di potere su un unico centro decisionale, con il rischio che l’attività possa essere indirizzata verso fini privati o impropri. Infatti, lo svolgimento di incarichi, soprattutto s</w:t>
      </w:r>
      <w:r>
        <w:rPr>
          <w:rFonts w:ascii="Arial" w:hAnsi="Arial" w:cs="Arial"/>
          <w:b w:val="0"/>
          <w:sz w:val="21"/>
          <w:szCs w:val="21"/>
          <w:shd w:val="clear" w:color="auto" w:fill="FFFFFF"/>
        </w:rPr>
        <w:t>e extraistituzionali, da parte del dipendente può realizzare situazioni di conflitto di interesse che possono compromettere il buon andamento dell’azione amministrativa, ponendosi come sintomo dell’evenienza di fatti corruttivi. Per tale ragione, il confer</w:t>
      </w:r>
      <w:r>
        <w:rPr>
          <w:rFonts w:ascii="Arial" w:hAnsi="Arial" w:cs="Arial"/>
          <w:b w:val="0"/>
          <w:sz w:val="21"/>
          <w:szCs w:val="21"/>
          <w:shd w:val="clear" w:color="auto" w:fill="FFFFFF"/>
        </w:rPr>
        <w:t>imento operato direttamente dall'Amministrazione, nonché l'autorizzazione all'esercizio di incarichi che provengano da amministrazione pubblica diversa da quella di appartenenza, ovvero da società o persone fisiche, che svolgano attività d'impresa o commer</w:t>
      </w:r>
      <w:r>
        <w:rPr>
          <w:rFonts w:ascii="Arial" w:hAnsi="Arial" w:cs="Arial"/>
          <w:b w:val="0"/>
          <w:sz w:val="21"/>
          <w:szCs w:val="21"/>
          <w:shd w:val="clear" w:color="auto" w:fill="FFFFFF"/>
        </w:rPr>
        <w:t>ciale, sono disposti dai rispettivi organi competenti secondo criteri oggettivi e predeterminati, che tengano conto della specifica professionalità, tali da escludere casi di incompatibilità, sia di diritto che di fatto, nell'interesse del buon andamento d</w:t>
      </w:r>
      <w:r>
        <w:rPr>
          <w:rFonts w:ascii="Arial" w:hAnsi="Arial" w:cs="Arial"/>
          <w:b w:val="0"/>
          <w:sz w:val="21"/>
          <w:szCs w:val="21"/>
          <w:shd w:val="clear" w:color="auto" w:fill="FFFFFF"/>
        </w:rPr>
        <w:t>ella Pubblica Amministrazione o situazioni di conflitto, anche potenziale, di interessi, che pregiudichino l’esercizio imparziale delle funzioni attribuite al dipendente. Il Comune di Novella per prevenire situazioni di conflitto di interessi che ledono l'</w:t>
      </w:r>
      <w:r>
        <w:rPr>
          <w:rFonts w:ascii="Arial" w:hAnsi="Arial" w:cs="Arial"/>
          <w:b w:val="0"/>
          <w:sz w:val="21"/>
          <w:szCs w:val="21"/>
          <w:shd w:val="clear" w:color="auto" w:fill="FFFFFF"/>
        </w:rPr>
        <w:t xml:space="preserve">imparzialità ed il buon andamento dell'azione amministrativa, prevede di verificare le richieste di autorizzazione/svolgimento di incarichi ed attività, anche alla luce delle conclusioni del tavolo tecnico esplicitate nel documento contenente </w:t>
      </w:r>
      <w:r>
        <w:rPr>
          <w:rFonts w:ascii="Arial" w:hAnsi="Arial" w:cs="Arial"/>
          <w:b w:val="0"/>
          <w:i/>
          <w:sz w:val="21"/>
          <w:szCs w:val="21"/>
          <w:shd w:val="clear" w:color="auto" w:fill="FFFFFF"/>
        </w:rPr>
        <w:t>"Criteri gene</w:t>
      </w:r>
      <w:r>
        <w:rPr>
          <w:rFonts w:ascii="Arial" w:hAnsi="Arial" w:cs="Arial"/>
          <w:b w:val="0"/>
          <w:i/>
          <w:sz w:val="21"/>
          <w:szCs w:val="21"/>
          <w:shd w:val="clear" w:color="auto" w:fill="FFFFFF"/>
        </w:rPr>
        <w:t>rali in materia di incarichi vietati ai pubblici dipendenti"</w:t>
      </w:r>
      <w:r>
        <w:rPr>
          <w:rFonts w:ascii="Arial" w:hAnsi="Arial" w:cs="Arial"/>
          <w:b w:val="0"/>
          <w:sz w:val="21"/>
          <w:szCs w:val="21"/>
          <w:shd w:val="clear" w:color="auto" w:fill="FFFFFF"/>
        </w:rPr>
        <w:t xml:space="preserve"> e delle conseguenti </w:t>
      </w:r>
      <w:r>
        <w:rPr>
          <w:rFonts w:ascii="Arial" w:hAnsi="Arial" w:cs="Arial"/>
          <w:b w:val="0"/>
          <w:color w:val="000000"/>
          <w:sz w:val="21"/>
          <w:szCs w:val="21"/>
          <w:shd w:val="clear" w:color="auto" w:fill="FFFFFF"/>
        </w:rPr>
        <w:t>indicazioni della Regione T.A.A. esplicitate con circolare n.3/EL del 14 agosto 2014.</w:t>
      </w:r>
    </w:p>
    <w:p w14:paraId="50000A35" w14:textId="77777777" w:rsidR="003A719B" w:rsidRDefault="00DF4CA4">
      <w:pPr>
        <w:pStyle w:val="Titolo2"/>
      </w:pPr>
      <w:bookmarkStart w:id="25" w:name="__RefHeading___Toc1980_761212699"/>
      <w:r>
        <w:rPr>
          <w:i w:val="0"/>
          <w:sz w:val="21"/>
          <w:szCs w:val="21"/>
        </w:rPr>
        <w:t>9.6 COINVOLGIMENTO DEGLI STAKEHOLDER: ASCOLTO E DIALOGO CON IL TERRITORIO</w:t>
      </w:r>
      <w:bookmarkEnd w:id="25"/>
    </w:p>
    <w:p w14:paraId="2C94648D" w14:textId="77777777" w:rsidR="003A719B" w:rsidRDefault="00DF4CA4">
      <w:pPr>
        <w:pStyle w:val="Standard"/>
        <w:spacing w:before="100"/>
        <w:jc w:val="both"/>
        <w:rPr>
          <w:rFonts w:ascii="Arial" w:hAnsi="Arial" w:cs="Arial"/>
          <w:sz w:val="21"/>
          <w:szCs w:val="21"/>
        </w:rPr>
      </w:pPr>
      <w:r>
        <w:rPr>
          <w:rFonts w:ascii="Arial" w:hAnsi="Arial" w:cs="Arial"/>
          <w:sz w:val="21"/>
          <w:szCs w:val="21"/>
        </w:rPr>
        <w:t xml:space="preserve">Il comune </w:t>
      </w:r>
      <w:r>
        <w:rPr>
          <w:rFonts w:ascii="Arial" w:hAnsi="Arial" w:cs="Arial"/>
          <w:sz w:val="21"/>
          <w:szCs w:val="21"/>
        </w:rPr>
        <w:t>intende organizzare il coinvolgimento degli stakeholder e la cura delle ricadute sul territorio attraverso forme d’ascolto e confronto attuate tramite il Consorzio dei Comuni Trentini e le competenti strutture Provinciali.</w:t>
      </w:r>
    </w:p>
    <w:p w14:paraId="53E25222" w14:textId="77777777" w:rsidR="003A719B" w:rsidRDefault="00DF4CA4">
      <w:pPr>
        <w:pStyle w:val="Standard"/>
        <w:spacing w:before="100"/>
        <w:jc w:val="both"/>
      </w:pPr>
      <w:r>
        <w:rPr>
          <w:rFonts w:ascii="Arial" w:hAnsi="Arial" w:cs="Arial"/>
          <w:sz w:val="21"/>
          <w:szCs w:val="21"/>
        </w:rPr>
        <w:t xml:space="preserve">Infine, per quanto concerne </w:t>
      </w:r>
      <w:r>
        <w:rPr>
          <w:rFonts w:ascii="Arial" w:hAnsi="Arial" w:cs="Arial"/>
          <w:b/>
          <w:sz w:val="21"/>
          <w:szCs w:val="21"/>
        </w:rPr>
        <w:t>l’asp</w:t>
      </w:r>
      <w:r>
        <w:rPr>
          <w:rFonts w:ascii="Arial" w:hAnsi="Arial" w:cs="Arial"/>
          <w:b/>
          <w:sz w:val="21"/>
          <w:szCs w:val="21"/>
        </w:rPr>
        <w:t>etto formativo</w:t>
      </w:r>
      <w:r>
        <w:rPr>
          <w:rFonts w:ascii="Arial" w:hAnsi="Arial" w:cs="Arial"/>
          <w:sz w:val="21"/>
          <w:szCs w:val="21"/>
        </w:rPr>
        <w:t xml:space="preserve"> – essenziale per il mantenimento e lo sviluppo del Piano nel tempo, si ribadisce come - in linea con la Convenzione delle Nazioni unite contro la corruzione, adottata dall’Assemblea generale dell’O.N.U. il 31 ottobre 2003, la L. 190/2012 att</w:t>
      </w:r>
      <w:r>
        <w:rPr>
          <w:rFonts w:ascii="Arial" w:hAnsi="Arial" w:cs="Arial"/>
          <w:sz w:val="21"/>
          <w:szCs w:val="21"/>
        </w:rPr>
        <w:t>ribuisce particolare importanza alla formazione del personale addetto alle aree a più elevato rischio, per cui è prevista, in occasione della predisposizione del Piano della formazione, particolare attenzione alle tematiche della trasparenza e della integr</w:t>
      </w:r>
      <w:r>
        <w:rPr>
          <w:rFonts w:ascii="Arial" w:hAnsi="Arial" w:cs="Arial"/>
          <w:sz w:val="21"/>
          <w:szCs w:val="21"/>
        </w:rPr>
        <w:t>ità, sia dal punto di vista della conoscenza della normativa e degli strumenti previsti nel Piano che dal punto di vista valoriale, in modo da accrescere sempre più lo sviluppo del senso etico.</w:t>
      </w:r>
    </w:p>
    <w:p w14:paraId="2C75C52F" w14:textId="77777777" w:rsidR="003A719B" w:rsidRDefault="003A719B">
      <w:pPr>
        <w:pStyle w:val="Standard"/>
        <w:spacing w:before="100"/>
        <w:jc w:val="both"/>
        <w:rPr>
          <w:rFonts w:ascii="Arial" w:hAnsi="Arial" w:cs="Arial"/>
          <w:sz w:val="21"/>
          <w:szCs w:val="21"/>
        </w:rPr>
      </w:pPr>
    </w:p>
    <w:p w14:paraId="3D1A65F4" w14:textId="77777777" w:rsidR="003A719B" w:rsidRDefault="00DF4CA4">
      <w:pPr>
        <w:pStyle w:val="Titolo2"/>
        <w:rPr>
          <w:i w:val="0"/>
          <w:sz w:val="21"/>
          <w:szCs w:val="21"/>
        </w:rPr>
      </w:pPr>
      <w:bookmarkStart w:id="26" w:name="__RefHeading___Toc1982_761212699"/>
      <w:r>
        <w:rPr>
          <w:i w:val="0"/>
          <w:sz w:val="21"/>
          <w:szCs w:val="21"/>
        </w:rPr>
        <w:t xml:space="preserve">9.7 RISPETTO DELLA NORMATIVA SULLA SCELTA DEL </w:t>
      </w:r>
      <w:r>
        <w:rPr>
          <w:i w:val="0"/>
          <w:sz w:val="21"/>
          <w:szCs w:val="21"/>
        </w:rPr>
        <w:t>CONTRAENTE</w:t>
      </w:r>
      <w:bookmarkEnd w:id="26"/>
    </w:p>
    <w:p w14:paraId="38C61F3A" w14:textId="77777777" w:rsidR="003A719B" w:rsidRDefault="00DF4CA4">
      <w:pPr>
        <w:pStyle w:val="Standard"/>
        <w:spacing w:before="100"/>
        <w:jc w:val="both"/>
        <w:rPr>
          <w:rFonts w:ascii="Arial" w:hAnsi="Arial" w:cs="Arial"/>
          <w:sz w:val="21"/>
          <w:szCs w:val="21"/>
        </w:rPr>
      </w:pPr>
      <w:r>
        <w:rPr>
          <w:rFonts w:ascii="Arial" w:hAnsi="Arial" w:cs="Arial"/>
          <w:sz w:val="21"/>
          <w:szCs w:val="21"/>
        </w:rPr>
        <w:t>In assenza di precedenti critici, l’impegno dell’amministrazione è concentrato sul rispetto puntuale della normativa di dettaglio e delle Linee guida espresse da ANAC, anche attraverso l’utilizzo della Centrale di committenza Provinciale e degli</w:t>
      </w:r>
      <w:r>
        <w:rPr>
          <w:rFonts w:ascii="Arial" w:hAnsi="Arial" w:cs="Arial"/>
          <w:sz w:val="21"/>
          <w:szCs w:val="21"/>
        </w:rPr>
        <w:t xml:space="preserve"> strumenti del mercato elettronico provinciale (MERCURIO – MEPAT) e nazionale (CONSIP – MEPA).</w:t>
      </w:r>
    </w:p>
    <w:p w14:paraId="23A8C8E4" w14:textId="77777777" w:rsidR="003A719B" w:rsidRDefault="003A719B">
      <w:pPr>
        <w:pStyle w:val="Standard"/>
        <w:spacing w:before="100"/>
        <w:jc w:val="both"/>
        <w:rPr>
          <w:rFonts w:ascii="Arial" w:hAnsi="Arial" w:cs="Arial"/>
          <w:sz w:val="21"/>
          <w:szCs w:val="21"/>
        </w:rPr>
      </w:pPr>
    </w:p>
    <w:p w14:paraId="1D2F9DFC" w14:textId="77777777" w:rsidR="003A719B" w:rsidRDefault="00DF4CA4">
      <w:pPr>
        <w:pStyle w:val="Titolo2"/>
        <w:rPr>
          <w:i w:val="0"/>
          <w:sz w:val="21"/>
          <w:szCs w:val="21"/>
        </w:rPr>
      </w:pPr>
      <w:bookmarkStart w:id="27" w:name="__RefHeading___Toc1984_761212699"/>
      <w:r>
        <w:rPr>
          <w:i w:val="0"/>
          <w:sz w:val="21"/>
          <w:szCs w:val="21"/>
        </w:rPr>
        <w:t>9.8 RISPETTO DELLA NORMATIVA SULLA PIANIFICAZIONE TERRITORIALE</w:t>
      </w:r>
      <w:bookmarkEnd w:id="27"/>
    </w:p>
    <w:p w14:paraId="46CC8724" w14:textId="77777777" w:rsidR="003A719B" w:rsidRDefault="00DF4CA4">
      <w:pPr>
        <w:pStyle w:val="Standard"/>
        <w:spacing w:before="100"/>
        <w:jc w:val="both"/>
        <w:rPr>
          <w:rFonts w:ascii="Arial" w:hAnsi="Arial" w:cs="Arial"/>
          <w:sz w:val="21"/>
          <w:szCs w:val="21"/>
        </w:rPr>
      </w:pPr>
      <w:r>
        <w:rPr>
          <w:rFonts w:ascii="Arial" w:hAnsi="Arial" w:cs="Arial"/>
          <w:sz w:val="21"/>
          <w:szCs w:val="21"/>
        </w:rPr>
        <w:t>In assenza di precedenti critici, l’impegno dell’amministrazione è concentrato sul rispetto puntu</w:t>
      </w:r>
      <w:r>
        <w:rPr>
          <w:rFonts w:ascii="Arial" w:hAnsi="Arial" w:cs="Arial"/>
          <w:sz w:val="21"/>
          <w:szCs w:val="21"/>
        </w:rPr>
        <w:t>ale della normativa di dettaglio, prevedendo apposite misure.</w:t>
      </w:r>
    </w:p>
    <w:p w14:paraId="2F694B91" w14:textId="77777777" w:rsidR="003A719B" w:rsidRDefault="003A719B">
      <w:pPr>
        <w:pStyle w:val="Standard"/>
        <w:spacing w:before="100"/>
        <w:jc w:val="both"/>
        <w:rPr>
          <w:rFonts w:ascii="Arial" w:hAnsi="Arial" w:cs="Arial"/>
          <w:sz w:val="21"/>
          <w:szCs w:val="21"/>
        </w:rPr>
      </w:pPr>
    </w:p>
    <w:p w14:paraId="7584CB32" w14:textId="77777777" w:rsidR="003A719B" w:rsidRDefault="00DF4CA4">
      <w:pPr>
        <w:pStyle w:val="Titolo2"/>
        <w:rPr>
          <w:i w:val="0"/>
          <w:sz w:val="21"/>
          <w:szCs w:val="21"/>
        </w:rPr>
      </w:pPr>
      <w:bookmarkStart w:id="28" w:name="__RefHeading___Toc9049_3259834511"/>
      <w:r>
        <w:rPr>
          <w:i w:val="0"/>
          <w:sz w:val="21"/>
          <w:szCs w:val="21"/>
        </w:rPr>
        <w:t>9.9 OBBLIGO DI ASTENSIONE IN CASO DI CONFLITTI DI INTERESSI</w:t>
      </w:r>
      <w:bookmarkEnd w:id="28"/>
    </w:p>
    <w:p w14:paraId="02742EFC" w14:textId="77777777" w:rsidR="003A719B" w:rsidRDefault="00DF4CA4">
      <w:pPr>
        <w:pStyle w:val="NormaleWeb"/>
        <w:numPr>
          <w:ilvl w:val="0"/>
          <w:numId w:val="28"/>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 xml:space="preserve">Il responsabile del procedimento, il titolare dell’ufficio competente ad adottare un provvedimento finale ed i titolari degli uffici </w:t>
      </w:r>
      <w:r>
        <w:rPr>
          <w:rFonts w:ascii="Arial" w:hAnsi="Arial" w:cs="Arial"/>
          <w:sz w:val="21"/>
          <w:szCs w:val="21"/>
          <w:shd w:val="clear" w:color="auto" w:fill="FFFFFF"/>
        </w:rPr>
        <w:t>competenti ad adottare atti endoprocedimentali hanno l'obbligo di astensione nel caso di conflitto di interesse, anche potenziale e in riferimento a tutte le ipotesi in cui si manifestino “gravi ragioni di convenienza”; inoltre per i medesimi soggetti è pr</w:t>
      </w:r>
      <w:r>
        <w:rPr>
          <w:rFonts w:ascii="Arial" w:hAnsi="Arial" w:cs="Arial"/>
          <w:sz w:val="21"/>
          <w:szCs w:val="21"/>
          <w:shd w:val="clear" w:color="auto" w:fill="FFFFFF"/>
        </w:rPr>
        <w:t>evisto un dovere di segnalazione della situazione di conflitto di interesse. Si tratta di una misura di prevenzione che si realizza mediante l’astensione dalla partecipazione alla decisione del titolare dell’interesse, che potrebbe porsi in conflitto con l</w:t>
      </w:r>
      <w:r>
        <w:rPr>
          <w:rFonts w:ascii="Arial" w:hAnsi="Arial" w:cs="Arial"/>
          <w:sz w:val="21"/>
          <w:szCs w:val="21"/>
          <w:shd w:val="clear" w:color="auto" w:fill="FFFFFF"/>
        </w:rPr>
        <w:t>’interesse perseguito mediante l’esercizio della funzione e/o con l’interesse di cui sono portatori il destinatario del provvedimento, gli altri interessati e controinteressati. I dipendenti del Comune dovranno segnalare per iscritto l'eventuale potenziale</w:t>
      </w:r>
      <w:r>
        <w:rPr>
          <w:rFonts w:ascii="Arial" w:hAnsi="Arial" w:cs="Arial"/>
          <w:sz w:val="21"/>
          <w:szCs w:val="21"/>
          <w:shd w:val="clear" w:color="auto" w:fill="FFFFFF"/>
        </w:rPr>
        <w:t xml:space="preserve"> conflitto d'interesse al dirigente competente, il quale valuterà se la situazione realizza un conflitto idoneo a ledere l’imparzialità dell’agire amministrativo. Il dirigente </w:t>
      </w:r>
      <w:r>
        <w:rPr>
          <w:rFonts w:ascii="Arial" w:hAnsi="Arial" w:cs="Arial"/>
          <w:sz w:val="21"/>
          <w:szCs w:val="21"/>
          <w:shd w:val="clear" w:color="auto" w:fill="FFFFFF"/>
        </w:rPr>
        <w:lastRenderedPageBreak/>
        <w:t>valuterà la situazione e risponderà per iscritto al dipendente, sollevandolo dal</w:t>
      </w:r>
      <w:r>
        <w:rPr>
          <w:rFonts w:ascii="Arial" w:hAnsi="Arial" w:cs="Arial"/>
          <w:sz w:val="21"/>
          <w:szCs w:val="21"/>
          <w:shd w:val="clear" w:color="auto" w:fill="FFFFFF"/>
        </w:rPr>
        <w:t>l’incarico oppure motivando espressamente le ragioni che consentano comunque l’espletamento dell’attività da parte di quel dipendente.</w:t>
      </w:r>
    </w:p>
    <w:p w14:paraId="3E3B29BA" w14:textId="77777777" w:rsidR="003A719B" w:rsidRDefault="00DF4CA4">
      <w:pPr>
        <w:pStyle w:val="NormaleWeb"/>
        <w:numPr>
          <w:ilvl w:val="0"/>
          <w:numId w:val="9"/>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Nel caso in cui sia necessario sollevare il dipendente dall’incarico esso dovrà essere affidato dal dirigente ad altro di</w:t>
      </w:r>
      <w:r>
        <w:rPr>
          <w:rFonts w:ascii="Arial" w:hAnsi="Arial" w:cs="Arial"/>
          <w:sz w:val="21"/>
          <w:szCs w:val="21"/>
          <w:shd w:val="clear" w:color="auto" w:fill="FFFFFF"/>
        </w:rPr>
        <w:t>pendente ovvero, in carenza di dipendenti/dirigenti professionalmente idonei, il dirigente dovrà avocare a sé ogni compito relativo al procedimento.</w:t>
      </w:r>
    </w:p>
    <w:p w14:paraId="7EBC968A" w14:textId="77777777" w:rsidR="003A719B" w:rsidRDefault="003A719B">
      <w:pPr>
        <w:pStyle w:val="NormaleWeb"/>
        <w:spacing w:before="102" w:after="0" w:line="240" w:lineRule="auto"/>
        <w:jc w:val="both"/>
        <w:rPr>
          <w:rFonts w:ascii="Arial" w:hAnsi="Arial" w:cs="Arial"/>
          <w:color w:val="0000CC"/>
          <w:sz w:val="21"/>
          <w:szCs w:val="21"/>
          <w:shd w:val="clear" w:color="auto" w:fill="FFFFFF"/>
        </w:rPr>
      </w:pPr>
    </w:p>
    <w:p w14:paraId="23E83867" w14:textId="77777777" w:rsidR="003A719B" w:rsidRDefault="00DF4CA4">
      <w:pPr>
        <w:pStyle w:val="Titolo2"/>
        <w:numPr>
          <w:ilvl w:val="1"/>
          <w:numId w:val="9"/>
        </w:numPr>
        <w:rPr>
          <w:i w:val="0"/>
          <w:sz w:val="21"/>
          <w:szCs w:val="21"/>
        </w:rPr>
      </w:pPr>
      <w:bookmarkStart w:id="29" w:name="__RefHeading___Toc9051_3259834511"/>
      <w:r>
        <w:rPr>
          <w:i w:val="0"/>
          <w:sz w:val="21"/>
          <w:szCs w:val="21"/>
        </w:rPr>
        <w:t>9.10 INCONFERIBILITA’ ED INCOMPATIBILITA’</w:t>
      </w:r>
      <w:bookmarkEnd w:id="29"/>
    </w:p>
    <w:p w14:paraId="1EC87C18" w14:textId="77777777" w:rsidR="003A719B" w:rsidRDefault="00DF4CA4">
      <w:pPr>
        <w:pStyle w:val="NormaleWeb"/>
        <w:numPr>
          <w:ilvl w:val="0"/>
          <w:numId w:val="9"/>
        </w:numPr>
        <w:spacing w:before="102" w:after="0" w:line="240" w:lineRule="auto"/>
        <w:ind w:left="0" w:firstLine="0"/>
        <w:jc w:val="both"/>
      </w:pPr>
      <w:r>
        <w:rPr>
          <w:rFonts w:ascii="Arial" w:hAnsi="Arial" w:cs="Arial"/>
          <w:sz w:val="21"/>
          <w:szCs w:val="21"/>
          <w:shd w:val="clear" w:color="auto" w:fill="FFFFFF"/>
        </w:rPr>
        <w:t xml:space="preserve">La disciplina delle ipotesi di inconferibilità ed </w:t>
      </w:r>
      <w:r>
        <w:rPr>
          <w:rFonts w:ascii="Arial" w:hAnsi="Arial" w:cs="Arial"/>
          <w:sz w:val="21"/>
          <w:szCs w:val="21"/>
          <w:shd w:val="clear" w:color="auto" w:fill="FFFFFF"/>
        </w:rPr>
        <w:t xml:space="preserve">incompatibilità degli incarichi nelle Pubbliche Amministrazioni di cui al d.lgs. n. 39/2013 è volta a garantire l'esercizio imparziale degli incarichi amministrativi mediante la sottrazione del titolare dell'incarico ai comportamenti che possono provenire </w:t>
      </w:r>
      <w:r>
        <w:rPr>
          <w:rFonts w:ascii="Arial" w:hAnsi="Arial" w:cs="Arial"/>
          <w:sz w:val="21"/>
          <w:szCs w:val="21"/>
          <w:shd w:val="clear" w:color="auto" w:fill="FFFFFF"/>
        </w:rPr>
        <w:t>da interessi privati o da interessi pubblici; in particolare, il Comune di Novella attraverso la disciplina di inconferibilità, vuole evitare che alcuni incarichi, di cura di interessi pubblici, non possano essere attribuiti a coloro che provengano da situ</w:t>
      </w:r>
      <w:r>
        <w:rPr>
          <w:rFonts w:ascii="Arial" w:hAnsi="Arial" w:cs="Arial"/>
          <w:sz w:val="21"/>
          <w:szCs w:val="21"/>
          <w:shd w:val="clear" w:color="auto" w:fill="FFFFFF"/>
        </w:rPr>
        <w:t>azioni che la legge considera come in grado di comportare delle indebite pressioni sull’esercizio imparziale delle funzioni; mentre, attraverso la disciplina dell’incompatibilità vuole impedire la cura contestuale di interessi pubblici e di interessi priva</w:t>
      </w:r>
      <w:r>
        <w:rPr>
          <w:rFonts w:ascii="Arial" w:hAnsi="Arial" w:cs="Arial"/>
          <w:sz w:val="21"/>
          <w:szCs w:val="21"/>
          <w:shd w:val="clear" w:color="auto" w:fill="FFFFFF"/>
        </w:rPr>
        <w:t>ti con essi in conflitto.</w:t>
      </w:r>
    </w:p>
    <w:p w14:paraId="0C4D72CC" w14:textId="77777777" w:rsidR="003A719B" w:rsidRDefault="00DF4CA4">
      <w:pPr>
        <w:pStyle w:val="NormaleWeb"/>
        <w:numPr>
          <w:ilvl w:val="0"/>
          <w:numId w:val="9"/>
        </w:numPr>
        <w:spacing w:before="102" w:after="0" w:line="240" w:lineRule="auto"/>
        <w:ind w:left="0" w:firstLine="0"/>
        <w:jc w:val="both"/>
      </w:pPr>
      <w:r>
        <w:rPr>
          <w:rFonts w:ascii="Arial" w:hAnsi="Arial" w:cs="Arial"/>
          <w:sz w:val="21"/>
          <w:szCs w:val="21"/>
          <w:shd w:val="clear" w:color="auto" w:fill="FFFFFF"/>
        </w:rPr>
        <w:t>Il Responsabile di Prevenzione della Corruzione e della Trasparenza (RPCT) cura che nel Comune di Novella siano rispettate le disposizioni del d.lgs. n. 39/2013 in materia di inconferibilità e incompatibilità degli incarichi. A ta</w:t>
      </w:r>
      <w:r>
        <w:rPr>
          <w:rFonts w:ascii="Arial" w:hAnsi="Arial" w:cs="Arial"/>
          <w:sz w:val="21"/>
          <w:szCs w:val="21"/>
          <w:shd w:val="clear" w:color="auto" w:fill="FFFFFF"/>
        </w:rPr>
        <w:t>le fine il RPCT contesta all’interessato l’esistenza o l’insorgere delle situazioni di inconferibilità o incompatibilità di cui al citato decreto.</w:t>
      </w:r>
    </w:p>
    <w:p w14:paraId="1239B9EE" w14:textId="77777777" w:rsidR="003A719B" w:rsidRDefault="00DF4CA4">
      <w:pPr>
        <w:pStyle w:val="NormaleWeb"/>
        <w:numPr>
          <w:ilvl w:val="0"/>
          <w:numId w:val="9"/>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I soggetti cui devono essere conferiti gli incarichi, contestualmente all'atto di nomina, devono presentare u</w:t>
      </w:r>
      <w:r>
        <w:rPr>
          <w:rFonts w:ascii="Arial" w:hAnsi="Arial" w:cs="Arial"/>
          <w:sz w:val="21"/>
          <w:szCs w:val="21"/>
          <w:shd w:val="clear" w:color="auto" w:fill="FFFFFF"/>
        </w:rPr>
        <w:t>na dichiarazione sulla insussistenza di una delle cause di inconferibilità o incompatibilità individuate nel d.gls. n. 39/2013.</w:t>
      </w:r>
    </w:p>
    <w:p w14:paraId="4B9E8D51" w14:textId="77777777" w:rsidR="003A719B" w:rsidRDefault="00DF4CA4">
      <w:pPr>
        <w:pStyle w:val="NormaleWeb"/>
        <w:numPr>
          <w:ilvl w:val="0"/>
          <w:numId w:val="9"/>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Il RPCT deve accertare l'ipotesi di insussistenza delle cause di inconferibilità o incompatibilità che precludono il conferiment</w:t>
      </w:r>
      <w:r>
        <w:rPr>
          <w:rFonts w:ascii="Arial" w:hAnsi="Arial" w:cs="Arial"/>
          <w:sz w:val="21"/>
          <w:szCs w:val="21"/>
          <w:shd w:val="clear" w:color="auto" w:fill="FFFFFF"/>
        </w:rPr>
        <w:t>o dell'incarico, previa attività di verifica sulla completezza e veridicità della dichiarazione in ordine al contenuto e alla sottoscrizione della stessa nei modi previsti dalla legge.</w:t>
      </w:r>
    </w:p>
    <w:p w14:paraId="1CA03C90" w14:textId="77777777" w:rsidR="003A719B" w:rsidRDefault="003A719B">
      <w:pPr>
        <w:pStyle w:val="NormaleWeb"/>
        <w:spacing w:before="102" w:after="0" w:line="240" w:lineRule="auto"/>
        <w:jc w:val="both"/>
        <w:rPr>
          <w:rFonts w:ascii="Arial" w:hAnsi="Arial" w:cs="Arial"/>
          <w:color w:val="0000CC"/>
          <w:sz w:val="21"/>
          <w:szCs w:val="21"/>
          <w:shd w:val="clear" w:color="auto" w:fill="FFFFFF"/>
        </w:rPr>
      </w:pPr>
    </w:p>
    <w:p w14:paraId="4A401583" w14:textId="77777777" w:rsidR="003A719B" w:rsidRDefault="00DF4CA4">
      <w:pPr>
        <w:pStyle w:val="Titolo1"/>
      </w:pPr>
      <w:bookmarkStart w:id="30" w:name="__RefHeading___Toc1986_761212699"/>
      <w:r>
        <w:rPr>
          <w:rFonts w:ascii="Arial" w:hAnsi="Arial" w:cs="Arial"/>
          <w:sz w:val="24"/>
          <w:szCs w:val="24"/>
        </w:rPr>
        <w:t>10. IL SISTEMA DEI CONTROLLI E DELLE AZIONI PREVENTIVE PREVISTE</w:t>
      </w:r>
      <w:bookmarkEnd w:id="30"/>
    </w:p>
    <w:p w14:paraId="17861B15" w14:textId="77777777" w:rsidR="003A719B" w:rsidRDefault="00DF4CA4">
      <w:pPr>
        <w:pStyle w:val="P"/>
        <w:spacing w:before="100" w:after="0" w:line="240" w:lineRule="auto"/>
        <w:rPr>
          <w:rFonts w:ascii="Arial" w:hAnsi="Arial" w:cs="Arial"/>
          <w:sz w:val="21"/>
          <w:szCs w:val="21"/>
        </w:rPr>
      </w:pPr>
      <w:r>
        <w:rPr>
          <w:rFonts w:ascii="Arial" w:hAnsi="Arial" w:cs="Arial"/>
          <w:sz w:val="21"/>
          <w:szCs w:val="21"/>
        </w:rPr>
        <w:t>Si rip</w:t>
      </w:r>
      <w:r>
        <w:rPr>
          <w:rFonts w:ascii="Arial" w:hAnsi="Arial" w:cs="Arial"/>
          <w:sz w:val="21"/>
          <w:szCs w:val="21"/>
        </w:rPr>
        <w:t>ortano di seguito, organizzate a livello di Servizio, le schede contenenti le azioni preventive e i controlli attivati per ognuno dei processi per i quali si è stimato “medio” o “alto” l’indice di rischio o per i quali, sebbene l’indice di rischio sia stat</w:t>
      </w:r>
      <w:r>
        <w:rPr>
          <w:rFonts w:ascii="Arial" w:hAnsi="Arial" w:cs="Arial"/>
          <w:sz w:val="21"/>
          <w:szCs w:val="21"/>
        </w:rPr>
        <w:t>o stimato come “basso”, si è comunque ritenuto opportuno e utile predisporre e inserire nel Piano azioni di controllo preventivo.</w:t>
      </w:r>
    </w:p>
    <w:p w14:paraId="0EC9BBF7" w14:textId="77777777" w:rsidR="003A719B" w:rsidRDefault="00DF4CA4">
      <w:pPr>
        <w:pStyle w:val="P"/>
        <w:spacing w:before="100" w:after="0" w:line="240" w:lineRule="auto"/>
        <w:rPr>
          <w:rFonts w:ascii="Arial" w:hAnsi="Arial" w:cs="Arial"/>
          <w:sz w:val="21"/>
          <w:szCs w:val="21"/>
        </w:rPr>
      </w:pPr>
      <w:r>
        <w:rPr>
          <w:rFonts w:ascii="Arial" w:hAnsi="Arial" w:cs="Arial"/>
          <w:sz w:val="21"/>
          <w:szCs w:val="21"/>
        </w:rPr>
        <w:t>Per ogni azione – anche se già in atto - è stato inserito il soggetto responsabile della sua attuazione, e laddove l’azione si</w:t>
      </w:r>
      <w:r>
        <w:rPr>
          <w:rFonts w:ascii="Arial" w:hAnsi="Arial" w:cs="Arial"/>
          <w:sz w:val="21"/>
          <w:szCs w:val="21"/>
        </w:rPr>
        <w:t>a pianificata nella sua realizzazione, sono indicati i tempi stimati per il suo completamento, eventualmente affiancati da note esplicative.</w:t>
      </w:r>
    </w:p>
    <w:p w14:paraId="6C3CA335" w14:textId="77777777" w:rsidR="003A719B" w:rsidRDefault="00DF4CA4">
      <w:pPr>
        <w:pStyle w:val="P"/>
        <w:spacing w:before="100" w:after="0" w:line="240" w:lineRule="auto"/>
        <w:rPr>
          <w:rFonts w:ascii="Arial" w:hAnsi="Arial" w:cs="Arial"/>
          <w:sz w:val="21"/>
          <w:szCs w:val="21"/>
        </w:rPr>
      </w:pPr>
      <w:r>
        <w:rPr>
          <w:rFonts w:ascii="Arial" w:hAnsi="Arial" w:cs="Arial"/>
          <w:sz w:val="21"/>
          <w:szCs w:val="21"/>
        </w:rPr>
        <w:t xml:space="preserve">L’utilizzo di un unico format è finalizzato a garantire l’uniformità e a facilitare la lettura del </w:t>
      </w:r>
      <w:r>
        <w:rPr>
          <w:rFonts w:ascii="Arial" w:hAnsi="Arial" w:cs="Arial"/>
          <w:sz w:val="21"/>
          <w:szCs w:val="21"/>
        </w:rPr>
        <w:t>documento.</w:t>
      </w:r>
    </w:p>
    <w:p w14:paraId="6D4E1619" w14:textId="77777777" w:rsidR="003A719B" w:rsidRDefault="003A719B">
      <w:pPr>
        <w:pStyle w:val="P"/>
        <w:spacing w:before="100" w:after="0" w:line="240" w:lineRule="auto"/>
        <w:rPr>
          <w:rFonts w:ascii="Arial" w:hAnsi="Arial" w:cs="Arial"/>
          <w:sz w:val="21"/>
          <w:szCs w:val="21"/>
        </w:rPr>
      </w:pPr>
    </w:p>
    <w:p w14:paraId="67B2A202" w14:textId="77777777" w:rsidR="003A719B" w:rsidRDefault="00DF4CA4">
      <w:pPr>
        <w:pStyle w:val="Titolo1"/>
      </w:pPr>
      <w:bookmarkStart w:id="31" w:name="__RefHeading___Toc1988_761212699"/>
      <w:r>
        <w:rPr>
          <w:rFonts w:ascii="Arial" w:hAnsi="Arial" w:cs="Arial"/>
          <w:sz w:val="24"/>
          <w:szCs w:val="24"/>
        </w:rPr>
        <w:t>11. AGGIORNAMENTO DEL PIANO DI PREVENZIONE DELLA CORRUZIONE E DELLA TRASPARENZA</w:t>
      </w:r>
      <w:bookmarkEnd w:id="31"/>
    </w:p>
    <w:p w14:paraId="4AFE1A57" w14:textId="77777777" w:rsidR="003A719B" w:rsidRDefault="00DF4CA4">
      <w:pPr>
        <w:pStyle w:val="Titolo2"/>
        <w:rPr>
          <w:i w:val="0"/>
          <w:sz w:val="21"/>
          <w:szCs w:val="21"/>
        </w:rPr>
      </w:pPr>
      <w:bookmarkStart w:id="32" w:name="__RefHeading___Toc1990_761212699"/>
      <w:r>
        <w:rPr>
          <w:i w:val="0"/>
          <w:sz w:val="21"/>
          <w:szCs w:val="21"/>
        </w:rPr>
        <w:t>11 MODALITA’ DI AGGIORNAMENTO</w:t>
      </w:r>
      <w:bookmarkEnd w:id="32"/>
    </w:p>
    <w:p w14:paraId="11455FDD" w14:textId="77777777" w:rsidR="003A719B" w:rsidRDefault="00DF4CA4">
      <w:pPr>
        <w:pStyle w:val="P"/>
        <w:spacing w:before="100" w:after="0" w:line="240" w:lineRule="auto"/>
        <w:rPr>
          <w:rFonts w:ascii="Arial" w:hAnsi="Arial" w:cs="Arial"/>
          <w:sz w:val="21"/>
          <w:szCs w:val="21"/>
        </w:rPr>
      </w:pPr>
      <w:r>
        <w:rPr>
          <w:rFonts w:ascii="Arial" w:hAnsi="Arial" w:cs="Arial"/>
          <w:sz w:val="21"/>
          <w:szCs w:val="21"/>
        </w:rPr>
        <w:t>Fermo restando il necessario adeguamento e allineamento del presente documento all’emanando Piano Nazionale Anticorruzione, esso rient</w:t>
      </w:r>
      <w:r>
        <w:rPr>
          <w:rFonts w:ascii="Arial" w:hAnsi="Arial" w:cs="Arial"/>
          <w:sz w:val="21"/>
          <w:szCs w:val="21"/>
        </w:rPr>
        <w:t>ra tra i piani e i programmi Gestionali. Le modalità di aggiornamento saranno pertanto analoghe a quelle previste per l’aggiornamento di tali piani e programmi, e darà atto del grado di raggiungimento degli obiettivi dichiarati secondo gli indicatori ivi p</w:t>
      </w:r>
      <w:r>
        <w:rPr>
          <w:rFonts w:ascii="Arial" w:hAnsi="Arial" w:cs="Arial"/>
          <w:sz w:val="21"/>
          <w:szCs w:val="21"/>
        </w:rPr>
        <w:t>revisti.</w:t>
      </w:r>
    </w:p>
    <w:p w14:paraId="2D7B561C" w14:textId="77777777" w:rsidR="003A719B" w:rsidRDefault="003A719B">
      <w:pPr>
        <w:pStyle w:val="P"/>
        <w:spacing w:before="100" w:after="0" w:line="240" w:lineRule="auto"/>
        <w:rPr>
          <w:rFonts w:ascii="Arial" w:hAnsi="Arial" w:cs="Arial"/>
          <w:sz w:val="21"/>
          <w:szCs w:val="21"/>
        </w:rPr>
      </w:pPr>
    </w:p>
    <w:p w14:paraId="6FA34C2E" w14:textId="77777777" w:rsidR="003A719B" w:rsidRDefault="00DF4CA4">
      <w:pPr>
        <w:pStyle w:val="Titolo2"/>
        <w:rPr>
          <w:i w:val="0"/>
          <w:sz w:val="21"/>
          <w:szCs w:val="21"/>
        </w:rPr>
      </w:pPr>
      <w:bookmarkStart w:id="33" w:name="__RefHeading___Toc1992_761212699"/>
      <w:r>
        <w:rPr>
          <w:i w:val="0"/>
          <w:sz w:val="21"/>
          <w:szCs w:val="21"/>
        </w:rPr>
        <w:t>11.2 CADENZA TEMPORALE DI AGGIORNAMENTO</w:t>
      </w:r>
      <w:bookmarkEnd w:id="33"/>
    </w:p>
    <w:p w14:paraId="66AE8302" w14:textId="77777777" w:rsidR="003A719B" w:rsidRDefault="00DF4CA4">
      <w:pPr>
        <w:pStyle w:val="P"/>
        <w:spacing w:before="100" w:after="0" w:line="240" w:lineRule="auto"/>
        <w:rPr>
          <w:rFonts w:ascii="Arial" w:hAnsi="Arial" w:cs="Arial"/>
          <w:sz w:val="21"/>
          <w:szCs w:val="21"/>
        </w:rPr>
      </w:pPr>
      <w:r>
        <w:rPr>
          <w:rFonts w:ascii="Arial" w:hAnsi="Arial" w:cs="Arial"/>
          <w:sz w:val="21"/>
          <w:szCs w:val="21"/>
        </w:rPr>
        <w:t>I contenuti del Piano, così come le priorità d’intervento e la mappatura e pesatura dei rischi per l’integrità costituiscono aggiornamento dei precedenti PTPCT, saranno oggetto di aggiornamento annuale, o s</w:t>
      </w:r>
      <w:r>
        <w:rPr>
          <w:rFonts w:ascii="Arial" w:hAnsi="Arial" w:cs="Arial"/>
          <w:sz w:val="21"/>
          <w:szCs w:val="21"/>
        </w:rPr>
        <w:t xml:space="preserve">e </w:t>
      </w:r>
      <w:r>
        <w:rPr>
          <w:rFonts w:ascii="Arial" w:hAnsi="Arial" w:cs="Arial"/>
          <w:sz w:val="21"/>
          <w:szCs w:val="21"/>
        </w:rPr>
        <w:lastRenderedPageBreak/>
        <w:t>necessario, in corso d’anno, anche in relazione ad eventuali adeguamenti a disposizioni normative e/o a riorganizzazione di processi e/o funzioni.</w:t>
      </w:r>
    </w:p>
    <w:p w14:paraId="4FE4DF22" w14:textId="77777777" w:rsidR="003A719B" w:rsidRDefault="003A719B">
      <w:pPr>
        <w:pStyle w:val="P"/>
        <w:spacing w:before="100" w:after="0" w:line="240" w:lineRule="auto"/>
        <w:rPr>
          <w:rFonts w:ascii="Arial" w:hAnsi="Arial" w:cs="Arial"/>
          <w:sz w:val="21"/>
          <w:szCs w:val="21"/>
        </w:rPr>
      </w:pPr>
    </w:p>
    <w:p w14:paraId="1A50FB6A" w14:textId="77777777" w:rsidR="003A719B" w:rsidRDefault="00DF4CA4">
      <w:pPr>
        <w:pStyle w:val="Titolo1"/>
      </w:pPr>
      <w:bookmarkStart w:id="34" w:name="__RefHeading___Toc1994_761212699"/>
      <w:r>
        <w:rPr>
          <w:rFonts w:ascii="Arial" w:hAnsi="Arial" w:cs="Arial"/>
          <w:sz w:val="24"/>
          <w:szCs w:val="24"/>
        </w:rPr>
        <w:t>12. MAPPA/REGISTRO DEI RISCHI CON LE AZIONI PREVENTIVE E CORRETTIVE, TEMPI E RESPONSABILITÀ</w:t>
      </w:r>
      <w:bookmarkEnd w:id="34"/>
    </w:p>
    <w:p w14:paraId="2FC9BFBD" w14:textId="77777777" w:rsidR="003A719B" w:rsidRDefault="00DF4CA4">
      <w:pPr>
        <w:pStyle w:val="P"/>
        <w:spacing w:before="100" w:after="0" w:line="240" w:lineRule="auto"/>
        <w:rPr>
          <w:rFonts w:ascii="Arial" w:hAnsi="Arial" w:cs="Arial"/>
          <w:i/>
          <w:sz w:val="21"/>
          <w:szCs w:val="21"/>
        </w:rPr>
      </w:pPr>
      <w:r>
        <w:rPr>
          <w:rFonts w:ascii="Arial" w:hAnsi="Arial" w:cs="Arial"/>
          <w:i/>
          <w:sz w:val="21"/>
          <w:szCs w:val="21"/>
        </w:rPr>
        <w:t>Vedi allegatI:</w:t>
      </w:r>
    </w:p>
    <w:p w14:paraId="69CD9245" w14:textId="77777777" w:rsidR="003A719B" w:rsidRDefault="00DF4CA4">
      <w:pPr>
        <w:pStyle w:val="P"/>
        <w:numPr>
          <w:ilvl w:val="0"/>
          <w:numId w:val="29"/>
        </w:numPr>
        <w:spacing w:before="100" w:after="0" w:line="240" w:lineRule="auto"/>
      </w:pPr>
      <w:r>
        <w:rPr>
          <w:rFonts w:ascii="Arial" w:hAnsi="Arial" w:cs="Arial"/>
          <w:sz w:val="21"/>
          <w:szCs w:val="21"/>
        </w:rPr>
        <w:t>Allegato A Piano Anticorruzione del Comune di Novella – mappatura dei rischi;</w:t>
      </w:r>
    </w:p>
    <w:p w14:paraId="0E714E64" w14:textId="77777777" w:rsidR="003A719B" w:rsidRDefault="00DF4CA4">
      <w:pPr>
        <w:pStyle w:val="P"/>
        <w:numPr>
          <w:ilvl w:val="0"/>
          <w:numId w:val="29"/>
        </w:numPr>
        <w:spacing w:before="100" w:after="0" w:line="240" w:lineRule="auto"/>
      </w:pPr>
      <w:r>
        <w:rPr>
          <w:rFonts w:ascii="Arial" w:hAnsi="Arial" w:cs="Arial"/>
          <w:sz w:val="21"/>
          <w:szCs w:val="21"/>
        </w:rPr>
        <w:t>Allegato B Elenco degli obblighi di pubblicazione.</w:t>
      </w:r>
    </w:p>
    <w:p w14:paraId="2BD90654" w14:textId="77777777" w:rsidR="003A719B" w:rsidRDefault="003A719B">
      <w:pPr>
        <w:pStyle w:val="P"/>
        <w:spacing w:before="100" w:after="0" w:line="240" w:lineRule="auto"/>
        <w:rPr>
          <w:rFonts w:ascii="Arial" w:hAnsi="Arial" w:cs="Arial"/>
          <w:sz w:val="21"/>
          <w:szCs w:val="21"/>
        </w:rPr>
      </w:pPr>
    </w:p>
    <w:p w14:paraId="3FD4A09A" w14:textId="77777777" w:rsidR="003A719B" w:rsidRDefault="003A719B">
      <w:pPr>
        <w:pStyle w:val="Standard"/>
        <w:rPr>
          <w:rFonts w:ascii="Arial" w:hAnsi="Arial" w:cs="Arial"/>
          <w:sz w:val="21"/>
          <w:szCs w:val="21"/>
        </w:rPr>
      </w:pPr>
    </w:p>
    <w:p w14:paraId="5B2216D9" w14:textId="77777777" w:rsidR="003A719B" w:rsidRDefault="00DF4CA4">
      <w:pPr>
        <w:pStyle w:val="Titolo1"/>
        <w:pageBreakBefore/>
        <w:jc w:val="center"/>
        <w:rPr>
          <w:sz w:val="24"/>
          <w:szCs w:val="24"/>
        </w:rPr>
      </w:pPr>
      <w:bookmarkStart w:id="35" w:name="__RefHeading___Toc1996_761212699"/>
      <w:r>
        <w:rPr>
          <w:sz w:val="24"/>
          <w:szCs w:val="24"/>
        </w:rPr>
        <w:lastRenderedPageBreak/>
        <w:t>APPENDICE NORMATIVA</w:t>
      </w:r>
      <w:bookmarkEnd w:id="35"/>
    </w:p>
    <w:p w14:paraId="45D37A0B" w14:textId="77777777" w:rsidR="003A719B" w:rsidRDefault="00DF4CA4">
      <w:pPr>
        <w:pStyle w:val="Standard"/>
        <w:jc w:val="both"/>
        <w:rPr>
          <w:rFonts w:ascii="Arial" w:hAnsi="Arial" w:cs="Arial"/>
          <w:sz w:val="21"/>
          <w:szCs w:val="21"/>
        </w:rPr>
      </w:pPr>
      <w:r>
        <w:rPr>
          <w:rFonts w:ascii="Arial" w:hAnsi="Arial" w:cs="Arial"/>
          <w:sz w:val="21"/>
          <w:szCs w:val="21"/>
        </w:rPr>
        <w:t>Si riportano di seguito le principali fonti normative sul tema della trasparenza e dell’integrità.</w:t>
      </w:r>
    </w:p>
    <w:p w14:paraId="5CFDD176" w14:textId="77777777" w:rsidR="003A719B" w:rsidRDefault="003A719B">
      <w:pPr>
        <w:pStyle w:val="Standard"/>
        <w:ind w:left="360" w:hanging="360"/>
        <w:jc w:val="both"/>
        <w:rPr>
          <w:rFonts w:ascii="Arial" w:hAnsi="Arial" w:cs="Arial"/>
          <w:sz w:val="21"/>
          <w:szCs w:val="21"/>
        </w:rPr>
      </w:pPr>
    </w:p>
    <w:p w14:paraId="10597110" w14:textId="77777777" w:rsidR="003A719B" w:rsidRDefault="00DF4CA4">
      <w:pPr>
        <w:pStyle w:val="Standard"/>
        <w:numPr>
          <w:ilvl w:val="0"/>
          <w:numId w:val="30"/>
        </w:numPr>
        <w:jc w:val="both"/>
      </w:pPr>
      <w:r>
        <w:rPr>
          <w:rFonts w:ascii="Arial" w:hAnsi="Arial" w:cs="Arial"/>
          <w:sz w:val="21"/>
          <w:szCs w:val="21"/>
        </w:rPr>
        <w:t>L. 0</w:t>
      </w:r>
      <w:r>
        <w:rPr>
          <w:rFonts w:ascii="Arial" w:hAnsi="Arial" w:cs="Arial"/>
          <w:sz w:val="21"/>
          <w:szCs w:val="21"/>
        </w:rPr>
        <w:t>7.08.2015 n. 124 “</w:t>
      </w:r>
      <w:r>
        <w:rPr>
          <w:rFonts w:ascii="Arial" w:hAnsi="Arial" w:cs="Arial"/>
          <w:i/>
          <w:sz w:val="21"/>
          <w:szCs w:val="21"/>
        </w:rPr>
        <w:t>Deleghe al Governo in materia di riorganizzazione delle amministrazioni pubbliche</w:t>
      </w:r>
      <w:r>
        <w:rPr>
          <w:rFonts w:ascii="Arial" w:hAnsi="Arial" w:cs="Arial"/>
          <w:sz w:val="21"/>
          <w:szCs w:val="21"/>
        </w:rPr>
        <w:t>”</w:t>
      </w:r>
    </w:p>
    <w:p w14:paraId="52533A71" w14:textId="77777777" w:rsidR="003A719B" w:rsidRDefault="00DF4CA4">
      <w:pPr>
        <w:pStyle w:val="Standard"/>
        <w:numPr>
          <w:ilvl w:val="0"/>
          <w:numId w:val="10"/>
        </w:numPr>
        <w:jc w:val="both"/>
      </w:pPr>
      <w:r>
        <w:rPr>
          <w:rFonts w:ascii="Arial" w:hAnsi="Arial" w:cs="Arial"/>
          <w:sz w:val="21"/>
          <w:szCs w:val="21"/>
        </w:rPr>
        <w:t>L. 11.08.2014, n. 114 di conversione del D.L. 24.06.2014, n. 90, recante all’art. 19: “</w:t>
      </w:r>
      <w:r>
        <w:rPr>
          <w:rFonts w:ascii="Arial" w:hAnsi="Arial" w:cs="Arial"/>
          <w:i/>
          <w:sz w:val="21"/>
          <w:szCs w:val="21"/>
        </w:rPr>
        <w:t>Soppressione dell’Autorità per la vigilanza sui contratti pubblici d</w:t>
      </w:r>
      <w:r>
        <w:rPr>
          <w:rFonts w:ascii="Arial" w:hAnsi="Arial" w:cs="Arial"/>
          <w:i/>
          <w:sz w:val="21"/>
          <w:szCs w:val="21"/>
        </w:rPr>
        <w:t>i lavori, servizi e forniture e definizione delle funzioni dell’Autorità nazionale anticorruzione</w:t>
      </w:r>
      <w:r>
        <w:rPr>
          <w:rFonts w:ascii="Arial" w:hAnsi="Arial" w:cs="Arial"/>
          <w:sz w:val="21"/>
          <w:szCs w:val="21"/>
        </w:rPr>
        <w:t>” e all’art. 32: “</w:t>
      </w:r>
      <w:r>
        <w:rPr>
          <w:rFonts w:ascii="Arial" w:hAnsi="Arial" w:cs="Arial"/>
          <w:i/>
          <w:sz w:val="21"/>
          <w:szCs w:val="21"/>
        </w:rPr>
        <w:t>Misure straordinarie di gestione, sostegno e monitoraggio di imprese nell'ambito della prevenzione della corruzione</w:t>
      </w:r>
      <w:r>
        <w:rPr>
          <w:rFonts w:ascii="Arial" w:hAnsi="Arial" w:cs="Arial"/>
          <w:sz w:val="21"/>
          <w:szCs w:val="21"/>
        </w:rPr>
        <w:t>”.</w:t>
      </w:r>
    </w:p>
    <w:p w14:paraId="5DF5F3C4" w14:textId="77777777" w:rsidR="003A719B" w:rsidRDefault="00DF4CA4">
      <w:pPr>
        <w:pStyle w:val="Standard"/>
        <w:numPr>
          <w:ilvl w:val="0"/>
          <w:numId w:val="10"/>
        </w:numPr>
        <w:jc w:val="both"/>
      </w:pPr>
      <w:r>
        <w:rPr>
          <w:rFonts w:ascii="Arial" w:hAnsi="Arial" w:cs="Arial"/>
          <w:sz w:val="21"/>
          <w:szCs w:val="21"/>
        </w:rPr>
        <w:t>L. 06.11.2012 n. 190 “</w:t>
      </w:r>
      <w:r>
        <w:rPr>
          <w:rFonts w:ascii="Arial" w:hAnsi="Arial" w:cs="Arial"/>
          <w:i/>
          <w:sz w:val="21"/>
          <w:szCs w:val="21"/>
        </w:rPr>
        <w:t>D</w:t>
      </w:r>
      <w:r>
        <w:rPr>
          <w:rFonts w:ascii="Arial" w:hAnsi="Arial" w:cs="Arial"/>
          <w:i/>
          <w:sz w:val="21"/>
          <w:szCs w:val="21"/>
        </w:rPr>
        <w:t>isposizioni per la prevenzione e la repressione della corruzione e dell’illegalità nella pubblica amministrazione</w:t>
      </w:r>
      <w:r>
        <w:rPr>
          <w:rFonts w:ascii="Arial" w:hAnsi="Arial" w:cs="Arial"/>
          <w:sz w:val="21"/>
          <w:szCs w:val="21"/>
        </w:rPr>
        <w:t>”.</w:t>
      </w:r>
    </w:p>
    <w:p w14:paraId="3F958390"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L. 28.06.2012 n. 110 e L. 28.06.2012 n. 112, di ratifica di due convenzioni del Consiglio d’Europa siglate a Strasburgo nel 1999.</w:t>
      </w:r>
    </w:p>
    <w:p w14:paraId="65E51196" w14:textId="77777777" w:rsidR="003A719B" w:rsidRDefault="00DF4CA4">
      <w:pPr>
        <w:pStyle w:val="Standard"/>
        <w:numPr>
          <w:ilvl w:val="0"/>
          <w:numId w:val="10"/>
        </w:numPr>
        <w:jc w:val="both"/>
      </w:pPr>
      <w:r>
        <w:rPr>
          <w:rFonts w:ascii="Arial" w:hAnsi="Arial" w:cs="Arial"/>
          <w:sz w:val="21"/>
          <w:szCs w:val="21"/>
        </w:rPr>
        <w:t xml:space="preserve">L. </w:t>
      </w:r>
      <w:r>
        <w:rPr>
          <w:rFonts w:ascii="Arial" w:hAnsi="Arial" w:cs="Arial"/>
          <w:sz w:val="21"/>
          <w:szCs w:val="21"/>
        </w:rPr>
        <w:t>11.11.2011 n. 180 “</w:t>
      </w:r>
      <w:r>
        <w:rPr>
          <w:rFonts w:ascii="Arial" w:hAnsi="Arial" w:cs="Arial"/>
          <w:i/>
          <w:sz w:val="21"/>
          <w:szCs w:val="21"/>
        </w:rPr>
        <w:t>Norme per la tutela della libertà d’impresa. Statuto delle imprese</w:t>
      </w:r>
      <w:r>
        <w:rPr>
          <w:rFonts w:ascii="Arial" w:hAnsi="Arial" w:cs="Arial"/>
          <w:sz w:val="21"/>
          <w:szCs w:val="21"/>
        </w:rPr>
        <w:t>”.</w:t>
      </w:r>
    </w:p>
    <w:p w14:paraId="1FE0A560" w14:textId="77777777" w:rsidR="003A719B" w:rsidRDefault="00DF4CA4">
      <w:pPr>
        <w:pStyle w:val="Standard"/>
        <w:numPr>
          <w:ilvl w:val="0"/>
          <w:numId w:val="10"/>
        </w:numPr>
        <w:jc w:val="both"/>
      </w:pPr>
      <w:r>
        <w:rPr>
          <w:rFonts w:ascii="Arial" w:hAnsi="Arial" w:cs="Arial"/>
          <w:sz w:val="21"/>
          <w:szCs w:val="21"/>
        </w:rPr>
        <w:t>L. 12.07.2011 n.106 “</w:t>
      </w:r>
      <w:r>
        <w:rPr>
          <w:rFonts w:ascii="Arial" w:hAnsi="Arial" w:cs="Arial"/>
          <w:i/>
          <w:sz w:val="21"/>
          <w:szCs w:val="21"/>
        </w:rPr>
        <w:t>Conversione in legge, con modificazioni, del decreto-legge 13 maggio 2011 n. 70, concernente Semestre Europeo - Prime disposizioni urgenti per l'ec</w:t>
      </w:r>
      <w:r>
        <w:rPr>
          <w:rFonts w:ascii="Arial" w:hAnsi="Arial" w:cs="Arial"/>
          <w:i/>
          <w:sz w:val="21"/>
          <w:szCs w:val="21"/>
        </w:rPr>
        <w:t>onomia</w:t>
      </w:r>
      <w:r>
        <w:rPr>
          <w:rFonts w:ascii="Arial" w:hAnsi="Arial" w:cs="Arial"/>
          <w:sz w:val="21"/>
          <w:szCs w:val="21"/>
        </w:rPr>
        <w:t>”.</w:t>
      </w:r>
    </w:p>
    <w:p w14:paraId="08350D59" w14:textId="77777777" w:rsidR="003A719B" w:rsidRDefault="00DF4CA4">
      <w:pPr>
        <w:pStyle w:val="Standard"/>
        <w:numPr>
          <w:ilvl w:val="0"/>
          <w:numId w:val="10"/>
        </w:numPr>
        <w:jc w:val="both"/>
      </w:pPr>
      <w:r>
        <w:rPr>
          <w:rFonts w:ascii="Arial" w:hAnsi="Arial" w:cs="Arial"/>
          <w:sz w:val="21"/>
          <w:szCs w:val="21"/>
        </w:rPr>
        <w:t>L. 03.08.2009 n.116 “</w:t>
      </w:r>
      <w:r>
        <w:rPr>
          <w:rFonts w:ascii="Arial" w:hAnsi="Arial" w:cs="Arial"/>
          <w:i/>
          <w:sz w:val="21"/>
          <w:szCs w:val="21"/>
        </w:rPr>
        <w:t>Ratifica della Convenzione dell’Organizzazione delle Nazioni Unite contro la corruzione del 31 ottobre 2003</w:t>
      </w:r>
      <w:r>
        <w:rPr>
          <w:rFonts w:ascii="Arial" w:hAnsi="Arial" w:cs="Arial"/>
          <w:sz w:val="21"/>
          <w:szCs w:val="21"/>
        </w:rPr>
        <w:t>”.</w:t>
      </w:r>
    </w:p>
    <w:p w14:paraId="764DCF05" w14:textId="77777777" w:rsidR="003A719B" w:rsidRDefault="00DF4CA4">
      <w:pPr>
        <w:pStyle w:val="Standard"/>
        <w:numPr>
          <w:ilvl w:val="0"/>
          <w:numId w:val="10"/>
        </w:numPr>
        <w:jc w:val="both"/>
      </w:pPr>
      <w:r>
        <w:rPr>
          <w:rFonts w:ascii="Arial" w:hAnsi="Arial" w:cs="Arial"/>
          <w:sz w:val="21"/>
          <w:szCs w:val="21"/>
        </w:rPr>
        <w:t>L. 18.06.2009 n. 69 “</w:t>
      </w:r>
      <w:r>
        <w:rPr>
          <w:rFonts w:ascii="Arial" w:hAnsi="Arial" w:cs="Arial"/>
          <w:i/>
          <w:sz w:val="21"/>
          <w:szCs w:val="21"/>
        </w:rPr>
        <w:t xml:space="preserve">Disposizioni per lo sviluppo economico, la semplificazione, la competitività nonché in materia </w:t>
      </w:r>
      <w:r>
        <w:rPr>
          <w:rFonts w:ascii="Arial" w:hAnsi="Arial" w:cs="Arial"/>
          <w:i/>
          <w:sz w:val="21"/>
          <w:szCs w:val="21"/>
        </w:rPr>
        <w:t>di processo civile</w:t>
      </w:r>
      <w:r>
        <w:rPr>
          <w:rFonts w:ascii="Arial" w:hAnsi="Arial" w:cs="Arial"/>
          <w:sz w:val="21"/>
          <w:szCs w:val="21"/>
        </w:rPr>
        <w:t>”.</w:t>
      </w:r>
    </w:p>
    <w:p w14:paraId="220BDBCB" w14:textId="77777777" w:rsidR="003A719B" w:rsidRDefault="00DF4CA4">
      <w:pPr>
        <w:pStyle w:val="Standard"/>
        <w:numPr>
          <w:ilvl w:val="0"/>
          <w:numId w:val="10"/>
        </w:numPr>
        <w:jc w:val="both"/>
      </w:pPr>
      <w:r>
        <w:rPr>
          <w:rFonts w:ascii="Arial" w:hAnsi="Arial" w:cs="Arial"/>
          <w:sz w:val="21"/>
          <w:szCs w:val="21"/>
        </w:rPr>
        <w:t>L. R. (Regione Autonoma Trentino - Alto Adige) 29.10.2014 n.10  recante “</w:t>
      </w:r>
      <w:r>
        <w:rPr>
          <w:rFonts w:ascii="Arial" w:hAnsi="Arial" w:cs="Arial"/>
          <w:i/>
          <w:sz w:val="21"/>
          <w:szCs w:val="21"/>
        </w:rPr>
        <w:t>Disposizioni in materia di pubblicità, trasparenza e diffusione di informazioni da parte della Regione e degli enti a ordinamento regionale, nonché modifiche alle</w:t>
      </w:r>
      <w:r>
        <w:rPr>
          <w:rFonts w:ascii="Arial" w:hAnsi="Arial" w:cs="Arial"/>
          <w:i/>
          <w:sz w:val="21"/>
          <w:szCs w:val="21"/>
        </w:rPr>
        <w:t xml:space="preserve"> leggi regionali 24 giugno 1957, n. 11 (Referendum per l'abrogazione di leggi regionali) e 16 luglio 1972, n. 15 (Norme sull'iniziativa popolare nella formazione delle leggi regionali e provinciali) e successive modificazioni, in merito ai soggetti legitti</w:t>
      </w:r>
      <w:r>
        <w:rPr>
          <w:rFonts w:ascii="Arial" w:hAnsi="Arial" w:cs="Arial"/>
          <w:i/>
          <w:sz w:val="21"/>
          <w:szCs w:val="21"/>
        </w:rPr>
        <w:t>mati all'autenticazione delle firme dei sottoscrittori”.</w:t>
      </w:r>
    </w:p>
    <w:p w14:paraId="3BFBC0A8"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L. R. (Regione Autonoma Trentino - Alto Adige) 13.12.2012 n. 8, recante all’art.7 le disposizioni in materia di “Amministrazione aperta”, successivamente modificata con L. R. TAA. 05.02.2013 n. 1 e L</w:t>
      </w:r>
      <w:r>
        <w:rPr>
          <w:rFonts w:ascii="Arial" w:hAnsi="Arial" w:cs="Arial"/>
          <w:sz w:val="21"/>
          <w:szCs w:val="21"/>
        </w:rPr>
        <w:t>. R. 02.05.2013 n.3, in tema di trasparenza ed integrità (si veda circolare n. 3/EL/2013/BZ/di data 15.05.2013), e da ultima modificata dalla L.R. n.10/2014 di cui sopra.</w:t>
      </w:r>
    </w:p>
    <w:p w14:paraId="441AB291"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L. R. (Regione Autonoma Trentino - Alto Adige) 15 giugno 2006, n. 1 recante Disposizi</w:t>
      </w:r>
      <w:r>
        <w:rPr>
          <w:rFonts w:ascii="Arial" w:hAnsi="Arial" w:cs="Arial"/>
          <w:sz w:val="21"/>
          <w:szCs w:val="21"/>
        </w:rPr>
        <w:t>oni per il concorso della Regione Trentino-Alto Adige alla realizzazione degli obiettivi di contenimento della spesa pubblica e norme sulla rimozione del vincolo di destinazione del patrimonio già appartenente agli enti comunali di assistenza</w:t>
      </w:r>
    </w:p>
    <w:p w14:paraId="4F412DBB"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L. R. (Region</w:t>
      </w:r>
      <w:r>
        <w:rPr>
          <w:rFonts w:ascii="Arial" w:hAnsi="Arial" w:cs="Arial"/>
          <w:sz w:val="21"/>
          <w:szCs w:val="21"/>
        </w:rPr>
        <w:t>e Autonoma Trentino - Alto Adige) 21 settembre 2005, n. 7 recante Nuovo ordinamento delle istituzioni pubbliche di assistenza e beneficenza – aziende pubbliche di servizi alla persona</w:t>
      </w:r>
    </w:p>
    <w:p w14:paraId="12843C99"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L. R. (Regione Autonoma Trentino - Alto Adige) 3 maggio 2018, n. 2 recan</w:t>
      </w:r>
      <w:r>
        <w:rPr>
          <w:rFonts w:ascii="Arial" w:hAnsi="Arial" w:cs="Arial"/>
          <w:sz w:val="21"/>
          <w:szCs w:val="21"/>
        </w:rPr>
        <w:t>te Codice degli Enti Locali della Regione Autonoma Trentino-Alto Adige</w:t>
      </w:r>
    </w:p>
    <w:p w14:paraId="76156F01" w14:textId="77777777" w:rsidR="003A719B" w:rsidRDefault="00DF4CA4">
      <w:pPr>
        <w:pStyle w:val="Standard"/>
        <w:numPr>
          <w:ilvl w:val="0"/>
          <w:numId w:val="10"/>
        </w:numPr>
        <w:jc w:val="both"/>
      </w:pPr>
      <w:r>
        <w:rPr>
          <w:rFonts w:ascii="Arial" w:hAnsi="Arial" w:cs="Arial"/>
          <w:sz w:val="21"/>
          <w:szCs w:val="21"/>
        </w:rPr>
        <w:t>D.  Lgs. 08.06.2016 n. 97 “</w:t>
      </w:r>
      <w:r>
        <w:rPr>
          <w:rFonts w:ascii="Arial" w:hAnsi="Arial" w:cs="Arial"/>
          <w:i/>
          <w:sz w:val="21"/>
          <w:szCs w:val="21"/>
        </w:rPr>
        <w:t>Revisione e semplificazione delle disposizioni in materia di prevenzione della corruzione e di trasparenza</w:t>
      </w:r>
      <w:r>
        <w:rPr>
          <w:rFonts w:ascii="Arial" w:hAnsi="Arial" w:cs="Arial"/>
          <w:sz w:val="21"/>
          <w:szCs w:val="21"/>
        </w:rPr>
        <w:t>”</w:t>
      </w:r>
    </w:p>
    <w:p w14:paraId="2F5066C3" w14:textId="77777777" w:rsidR="003A719B" w:rsidRDefault="00DF4CA4">
      <w:pPr>
        <w:pStyle w:val="Standard"/>
        <w:numPr>
          <w:ilvl w:val="0"/>
          <w:numId w:val="10"/>
        </w:numPr>
        <w:jc w:val="both"/>
      </w:pPr>
      <w:r>
        <w:rPr>
          <w:rFonts w:ascii="Arial" w:hAnsi="Arial" w:cs="Arial"/>
          <w:sz w:val="21"/>
          <w:szCs w:val="21"/>
        </w:rPr>
        <w:t>D. Lgs. 14.03.2013 n. 39 “</w:t>
      </w:r>
      <w:r>
        <w:rPr>
          <w:rFonts w:ascii="Arial" w:hAnsi="Arial" w:cs="Arial"/>
          <w:i/>
          <w:sz w:val="21"/>
          <w:szCs w:val="21"/>
        </w:rPr>
        <w:t>Riordino della disciplin</w:t>
      </w:r>
      <w:r>
        <w:rPr>
          <w:rFonts w:ascii="Arial" w:hAnsi="Arial" w:cs="Arial"/>
          <w:i/>
          <w:sz w:val="21"/>
          <w:szCs w:val="21"/>
        </w:rPr>
        <w:t>a riguardante gli obblighi di pubblicità, trasparenza e diffusione di informazioni da parte delle pubbliche amministrazioni</w:t>
      </w:r>
      <w:r>
        <w:rPr>
          <w:rFonts w:ascii="Arial" w:hAnsi="Arial" w:cs="Arial"/>
          <w:sz w:val="21"/>
          <w:szCs w:val="21"/>
        </w:rPr>
        <w:t>”.</w:t>
      </w:r>
    </w:p>
    <w:p w14:paraId="3A8301CF" w14:textId="77777777" w:rsidR="003A719B" w:rsidRDefault="00DF4CA4">
      <w:pPr>
        <w:pStyle w:val="Standard"/>
        <w:numPr>
          <w:ilvl w:val="0"/>
          <w:numId w:val="10"/>
        </w:numPr>
        <w:jc w:val="both"/>
      </w:pPr>
      <w:r>
        <w:rPr>
          <w:rFonts w:ascii="Arial" w:hAnsi="Arial" w:cs="Arial"/>
          <w:sz w:val="21"/>
          <w:szCs w:val="21"/>
        </w:rPr>
        <w:t xml:space="preserve">D. Lgs. 14.03.2013 n. 33 </w:t>
      </w:r>
      <w:r>
        <w:rPr>
          <w:rFonts w:ascii="Arial" w:eastAsia="Arial Unicode MS" w:hAnsi="Arial" w:cs="Arial"/>
          <w:sz w:val="21"/>
          <w:szCs w:val="21"/>
        </w:rPr>
        <w:t>“</w:t>
      </w:r>
      <w:r>
        <w:rPr>
          <w:rFonts w:ascii="Arial" w:eastAsia="Arial Unicode MS" w:hAnsi="Arial" w:cs="Arial"/>
          <w:i/>
          <w:sz w:val="21"/>
          <w:szCs w:val="21"/>
        </w:rPr>
        <w:t xml:space="preserve">Disposizioni in materia di inconferibilità e incompatibilità di incarichi presso le pubbliche </w:t>
      </w:r>
      <w:r>
        <w:rPr>
          <w:rFonts w:ascii="Arial" w:eastAsia="Arial Unicode MS" w:hAnsi="Arial" w:cs="Arial"/>
          <w:i/>
          <w:sz w:val="21"/>
          <w:szCs w:val="21"/>
        </w:rPr>
        <w:t>amministrazioni e presso gli enti privati in controllo pubblico, a norma dell’articolo 1, commi 49 e 50, della legge 6 novembre 2012, n. 190</w:t>
      </w:r>
      <w:r>
        <w:rPr>
          <w:rFonts w:ascii="Arial" w:eastAsia="Arial Unicode MS" w:hAnsi="Arial" w:cs="Arial"/>
          <w:sz w:val="21"/>
          <w:szCs w:val="21"/>
        </w:rPr>
        <w:t>”.</w:t>
      </w:r>
    </w:p>
    <w:p w14:paraId="4EE93A2A" w14:textId="77777777" w:rsidR="003A719B" w:rsidRDefault="00DF4CA4">
      <w:pPr>
        <w:pStyle w:val="Standard"/>
        <w:numPr>
          <w:ilvl w:val="0"/>
          <w:numId w:val="10"/>
        </w:numPr>
        <w:jc w:val="both"/>
      </w:pPr>
      <w:r>
        <w:rPr>
          <w:rFonts w:ascii="Arial" w:eastAsia="Arial Unicode MS" w:hAnsi="Arial" w:cs="Arial"/>
          <w:sz w:val="21"/>
          <w:szCs w:val="21"/>
        </w:rPr>
        <w:t>D. Lgs. 27.10.2009 n. 150 “</w:t>
      </w:r>
      <w:r>
        <w:rPr>
          <w:rFonts w:ascii="Arial" w:eastAsia="Arial Unicode MS" w:hAnsi="Arial" w:cs="Arial"/>
          <w:i/>
          <w:sz w:val="21"/>
          <w:szCs w:val="21"/>
        </w:rPr>
        <w:t>Attuazione della legge 4 marzo 2009, n. 15, in materia di ottimizzazione della produtt</w:t>
      </w:r>
      <w:r>
        <w:rPr>
          <w:rFonts w:ascii="Arial" w:eastAsia="Arial Unicode MS" w:hAnsi="Arial" w:cs="Arial"/>
          <w:i/>
          <w:sz w:val="21"/>
          <w:szCs w:val="21"/>
        </w:rPr>
        <w:t>ività del lavoro pubblico e di efficienza e trasparenza delle pubbliche amministrazioni</w:t>
      </w:r>
      <w:r>
        <w:rPr>
          <w:rFonts w:ascii="Arial" w:eastAsia="Arial Unicode MS" w:hAnsi="Arial" w:cs="Arial"/>
          <w:sz w:val="21"/>
          <w:szCs w:val="21"/>
        </w:rPr>
        <w:t>”.</w:t>
      </w:r>
    </w:p>
    <w:p w14:paraId="64694089" w14:textId="77777777" w:rsidR="003A719B" w:rsidRDefault="00DF4CA4">
      <w:pPr>
        <w:pStyle w:val="Standard"/>
        <w:numPr>
          <w:ilvl w:val="0"/>
          <w:numId w:val="10"/>
        </w:numPr>
        <w:jc w:val="both"/>
      </w:pPr>
      <w:r>
        <w:rPr>
          <w:rFonts w:ascii="Arial" w:hAnsi="Arial" w:cs="Arial"/>
          <w:sz w:val="21"/>
          <w:szCs w:val="21"/>
        </w:rPr>
        <w:t>D. Lgs. 12.04.2006 n. 163 e ss. mm. “</w:t>
      </w:r>
      <w:r>
        <w:rPr>
          <w:rFonts w:ascii="Arial" w:hAnsi="Arial" w:cs="Arial"/>
          <w:i/>
          <w:sz w:val="21"/>
          <w:szCs w:val="21"/>
        </w:rPr>
        <w:t>Codice dei contratti pubblici relativi a lavori, servizi e forniture in attuazione delle direttive 2004/17/CE e 2004/18/CE</w:t>
      </w:r>
      <w:r>
        <w:rPr>
          <w:rFonts w:ascii="Arial" w:hAnsi="Arial" w:cs="Arial"/>
          <w:sz w:val="21"/>
          <w:szCs w:val="21"/>
        </w:rPr>
        <w:t>”.</w:t>
      </w:r>
    </w:p>
    <w:p w14:paraId="34DDBB76" w14:textId="77777777" w:rsidR="003A719B" w:rsidRDefault="00DF4CA4">
      <w:pPr>
        <w:pStyle w:val="Standard"/>
        <w:numPr>
          <w:ilvl w:val="0"/>
          <w:numId w:val="10"/>
        </w:numPr>
        <w:jc w:val="both"/>
      </w:pPr>
      <w:r>
        <w:rPr>
          <w:rFonts w:ascii="Arial" w:hAnsi="Arial" w:cs="Arial"/>
          <w:sz w:val="21"/>
          <w:szCs w:val="21"/>
        </w:rPr>
        <w:t>D. L</w:t>
      </w:r>
      <w:r>
        <w:rPr>
          <w:rFonts w:ascii="Arial" w:hAnsi="Arial" w:cs="Arial"/>
          <w:sz w:val="21"/>
          <w:szCs w:val="21"/>
        </w:rPr>
        <w:t>gs.  07.03.2005 n. 82  ss. mm. “</w:t>
      </w:r>
      <w:r>
        <w:rPr>
          <w:rFonts w:ascii="Arial" w:hAnsi="Arial" w:cs="Arial"/>
          <w:i/>
          <w:sz w:val="21"/>
          <w:szCs w:val="21"/>
        </w:rPr>
        <w:t>Codice dell’amministrazione digitale</w:t>
      </w:r>
      <w:r>
        <w:rPr>
          <w:rFonts w:ascii="Arial" w:hAnsi="Arial" w:cs="Arial"/>
          <w:sz w:val="21"/>
          <w:szCs w:val="21"/>
        </w:rPr>
        <w:t>”.</w:t>
      </w:r>
    </w:p>
    <w:p w14:paraId="396D62BA" w14:textId="77777777" w:rsidR="003A719B" w:rsidRDefault="00DF4CA4">
      <w:pPr>
        <w:pStyle w:val="Standard"/>
        <w:numPr>
          <w:ilvl w:val="0"/>
          <w:numId w:val="10"/>
        </w:numPr>
        <w:jc w:val="both"/>
      </w:pPr>
      <w:r>
        <w:rPr>
          <w:rFonts w:ascii="Arial" w:hAnsi="Arial" w:cs="Arial"/>
          <w:sz w:val="21"/>
          <w:szCs w:val="21"/>
        </w:rPr>
        <w:t>D. Lgs. 30.06.2003 n. 196 “</w:t>
      </w:r>
      <w:r>
        <w:rPr>
          <w:rFonts w:ascii="Arial" w:hAnsi="Arial" w:cs="Arial"/>
          <w:i/>
          <w:sz w:val="21"/>
          <w:szCs w:val="21"/>
        </w:rPr>
        <w:t>Codice in materia di protezione dei dati personali</w:t>
      </w:r>
      <w:r>
        <w:rPr>
          <w:rFonts w:ascii="Arial" w:hAnsi="Arial" w:cs="Arial"/>
          <w:sz w:val="21"/>
          <w:szCs w:val="21"/>
        </w:rPr>
        <w:t>”.</w:t>
      </w:r>
    </w:p>
    <w:p w14:paraId="347150A3" w14:textId="77777777" w:rsidR="003A719B" w:rsidRDefault="00DF4CA4">
      <w:pPr>
        <w:pStyle w:val="Standard"/>
        <w:numPr>
          <w:ilvl w:val="0"/>
          <w:numId w:val="10"/>
        </w:numPr>
        <w:jc w:val="both"/>
      </w:pPr>
      <w:r>
        <w:rPr>
          <w:rFonts w:ascii="Arial" w:hAnsi="Arial" w:cs="Arial"/>
          <w:sz w:val="21"/>
          <w:szCs w:val="21"/>
        </w:rPr>
        <w:t>D. Lgs. 30.03.2001 n. 165 “</w:t>
      </w:r>
      <w:r>
        <w:rPr>
          <w:rFonts w:ascii="Arial" w:hAnsi="Arial" w:cs="Arial"/>
          <w:i/>
          <w:sz w:val="21"/>
          <w:szCs w:val="21"/>
        </w:rPr>
        <w:t>Norme generali sull’ordinamento del lavoro alle dipendenze delle amministrazio</w:t>
      </w:r>
      <w:r>
        <w:rPr>
          <w:rFonts w:ascii="Arial" w:hAnsi="Arial" w:cs="Arial"/>
          <w:i/>
          <w:sz w:val="21"/>
          <w:szCs w:val="21"/>
        </w:rPr>
        <w:t>ni pubbliche</w:t>
      </w:r>
      <w:r>
        <w:rPr>
          <w:rFonts w:ascii="Arial" w:hAnsi="Arial" w:cs="Arial"/>
          <w:sz w:val="21"/>
          <w:szCs w:val="21"/>
        </w:rPr>
        <w:t>”.</w:t>
      </w:r>
    </w:p>
    <w:p w14:paraId="7A2F5999" w14:textId="77777777" w:rsidR="003A719B" w:rsidRDefault="003A719B">
      <w:pPr>
        <w:pStyle w:val="Standard"/>
        <w:jc w:val="both"/>
        <w:rPr>
          <w:rFonts w:ascii="Arial" w:hAnsi="Arial" w:cs="Arial"/>
          <w:sz w:val="21"/>
          <w:szCs w:val="21"/>
        </w:rPr>
      </w:pPr>
    </w:p>
    <w:p w14:paraId="058D415D" w14:textId="77777777" w:rsidR="003A719B" w:rsidRDefault="00DF4CA4">
      <w:pPr>
        <w:pStyle w:val="Standard"/>
        <w:numPr>
          <w:ilvl w:val="0"/>
          <w:numId w:val="10"/>
        </w:numPr>
        <w:jc w:val="both"/>
      </w:pPr>
      <w:r>
        <w:rPr>
          <w:rFonts w:ascii="Arial" w:hAnsi="Arial" w:cs="Arial"/>
          <w:sz w:val="21"/>
          <w:szCs w:val="21"/>
        </w:rPr>
        <w:t>D.P.R. 16.04.2013 n. 62 “</w:t>
      </w:r>
      <w:r>
        <w:rPr>
          <w:rFonts w:ascii="Arial" w:hAnsi="Arial" w:cs="Arial"/>
          <w:i/>
          <w:sz w:val="21"/>
          <w:szCs w:val="21"/>
        </w:rPr>
        <w:t>Regolamento recante codice di comportamento dei dipendenti pubblici, a norma dell'articolo 54 del decreto legislativo 30 marzo 2001, n. 165</w:t>
      </w:r>
      <w:r>
        <w:rPr>
          <w:rFonts w:ascii="Arial" w:hAnsi="Arial" w:cs="Arial"/>
          <w:sz w:val="21"/>
          <w:szCs w:val="21"/>
        </w:rPr>
        <w:t>”.</w:t>
      </w:r>
    </w:p>
    <w:p w14:paraId="17114D27"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D.P.R. 23.04.2004 n. 108 “Regolamento recante disciplina per l’istituzion</w:t>
      </w:r>
      <w:r>
        <w:rPr>
          <w:rFonts w:ascii="Arial" w:hAnsi="Arial" w:cs="Arial"/>
          <w:sz w:val="21"/>
          <w:szCs w:val="21"/>
        </w:rPr>
        <w:t xml:space="preserve">e, l’organizzazione ed il </w:t>
      </w:r>
      <w:r>
        <w:rPr>
          <w:rFonts w:ascii="Arial" w:hAnsi="Arial" w:cs="Arial"/>
          <w:sz w:val="21"/>
          <w:szCs w:val="21"/>
        </w:rPr>
        <w:lastRenderedPageBreak/>
        <w:t>funzionamento del ruolo dei dirigenti presso le amministrazioni dello Stato, anche ad ordinamento autonomo”.</w:t>
      </w:r>
    </w:p>
    <w:p w14:paraId="0DC985C5" w14:textId="77777777" w:rsidR="003A719B" w:rsidRDefault="00DF4CA4">
      <w:pPr>
        <w:pStyle w:val="Standard"/>
        <w:numPr>
          <w:ilvl w:val="0"/>
          <w:numId w:val="10"/>
        </w:numPr>
        <w:jc w:val="both"/>
      </w:pPr>
      <w:r>
        <w:rPr>
          <w:rFonts w:ascii="Arial" w:hAnsi="Arial" w:cs="Arial"/>
          <w:sz w:val="21"/>
          <w:szCs w:val="21"/>
        </w:rPr>
        <w:t>D.P.R. 07.04.2000 n. 118 “</w:t>
      </w:r>
      <w:r>
        <w:rPr>
          <w:rFonts w:ascii="Arial" w:hAnsi="Arial" w:cs="Arial"/>
          <w:i/>
          <w:sz w:val="21"/>
          <w:szCs w:val="21"/>
        </w:rPr>
        <w:t xml:space="preserve">Regolamento recante norme per la semplificazione del procedimento per la disciplina degli albi </w:t>
      </w:r>
      <w:r>
        <w:rPr>
          <w:rFonts w:ascii="Arial" w:hAnsi="Arial" w:cs="Arial"/>
          <w:i/>
          <w:sz w:val="21"/>
          <w:szCs w:val="21"/>
        </w:rPr>
        <w:t>dei beneficiari di provvidenze di natura economica, a norma dell’articolo 20, comma 8, della legge 15 marzo 1997, n. 59</w:t>
      </w:r>
      <w:r>
        <w:rPr>
          <w:rFonts w:ascii="Arial" w:hAnsi="Arial" w:cs="Arial"/>
          <w:sz w:val="21"/>
          <w:szCs w:val="21"/>
        </w:rPr>
        <w:t>”.</w:t>
      </w:r>
    </w:p>
    <w:p w14:paraId="071D9DAD"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Decreto del Presidente della Regione 13 aprile 2006, n. 4/L, recante Approvazione del regolamento di esecuzione concernente la contabi</w:t>
      </w:r>
      <w:r>
        <w:rPr>
          <w:rFonts w:ascii="Arial" w:hAnsi="Arial" w:cs="Arial"/>
          <w:sz w:val="21"/>
          <w:szCs w:val="21"/>
        </w:rPr>
        <w:t>lità delle aziende pubbliche di servizi alla persona ai sensi del Titolo III della legge regionale 21 settembre 2005, n. 7, relativa a «Nuovo ordinamento delle istituzioni pubbliche di assistenza e beneficenza - aziende pubbliche di servizi alla persona»</w:t>
      </w:r>
    </w:p>
    <w:p w14:paraId="1636B7CA"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D</w:t>
      </w:r>
      <w:r>
        <w:rPr>
          <w:rFonts w:ascii="Arial" w:hAnsi="Arial" w:cs="Arial"/>
          <w:sz w:val="21"/>
          <w:szCs w:val="21"/>
        </w:rPr>
        <w:t>ecreto del Presidente della Regione 17 ottobre 2006, n. 12/L, recante Approvazione del regolamento di esecuzione della legge regionale 21 settembre 2005, n. 7, relativo alla organizzazione generale, all’ordinamento del personale e alla disciplina contrattu</w:t>
      </w:r>
      <w:r>
        <w:rPr>
          <w:rFonts w:ascii="Arial" w:hAnsi="Arial" w:cs="Arial"/>
          <w:sz w:val="21"/>
          <w:szCs w:val="21"/>
        </w:rPr>
        <w:t>ale delle aziende pubbliche di servizi alla persona</w:t>
      </w:r>
    </w:p>
    <w:p w14:paraId="4C356DDD" w14:textId="77777777" w:rsidR="003A719B" w:rsidRDefault="00DF4CA4">
      <w:pPr>
        <w:pStyle w:val="Standard"/>
        <w:numPr>
          <w:ilvl w:val="0"/>
          <w:numId w:val="10"/>
        </w:numPr>
        <w:jc w:val="both"/>
        <w:rPr>
          <w:rFonts w:ascii="Arial" w:hAnsi="Arial" w:cs="Arial"/>
          <w:sz w:val="21"/>
          <w:szCs w:val="21"/>
        </w:rPr>
      </w:pPr>
      <w:r>
        <w:rPr>
          <w:rFonts w:ascii="Arial" w:hAnsi="Arial" w:cs="Arial"/>
          <w:sz w:val="21"/>
          <w:szCs w:val="21"/>
        </w:rPr>
        <w:t>Codice etico funzione pubblica di data 28.11.2000.</w:t>
      </w:r>
    </w:p>
    <w:p w14:paraId="38C49AF1" w14:textId="77777777" w:rsidR="003A719B" w:rsidRDefault="00DF4CA4">
      <w:pPr>
        <w:pStyle w:val="Standard"/>
        <w:numPr>
          <w:ilvl w:val="0"/>
          <w:numId w:val="10"/>
        </w:numPr>
        <w:jc w:val="both"/>
      </w:pPr>
      <w:r>
        <w:rPr>
          <w:rFonts w:ascii="Arial" w:hAnsi="Arial" w:cs="Arial"/>
          <w:sz w:val="21"/>
          <w:szCs w:val="21"/>
        </w:rPr>
        <w:t>Codice etico per gli amministratori locali – “</w:t>
      </w:r>
      <w:r>
        <w:rPr>
          <w:rFonts w:ascii="Arial" w:hAnsi="Arial" w:cs="Arial"/>
          <w:i/>
          <w:sz w:val="21"/>
          <w:szCs w:val="21"/>
        </w:rPr>
        <w:t>Carta di Pisa</w:t>
      </w:r>
      <w:r>
        <w:rPr>
          <w:rFonts w:ascii="Arial" w:hAnsi="Arial" w:cs="Arial"/>
          <w:sz w:val="21"/>
          <w:szCs w:val="21"/>
        </w:rPr>
        <w:t>”.</w:t>
      </w:r>
    </w:p>
    <w:p w14:paraId="6978D95A" w14:textId="77777777" w:rsidR="003A719B" w:rsidRDefault="00DF4CA4">
      <w:pPr>
        <w:pStyle w:val="Standard"/>
        <w:numPr>
          <w:ilvl w:val="0"/>
          <w:numId w:val="31"/>
        </w:numPr>
        <w:jc w:val="both"/>
        <w:rPr>
          <w:rFonts w:ascii="Arial" w:hAnsi="Arial" w:cs="Arial"/>
          <w:sz w:val="21"/>
          <w:szCs w:val="21"/>
        </w:rPr>
      </w:pPr>
      <w:r>
        <w:rPr>
          <w:rFonts w:ascii="Arial" w:hAnsi="Arial" w:cs="Arial"/>
          <w:sz w:val="21"/>
          <w:szCs w:val="21"/>
        </w:rPr>
        <w:t>Convenzione dell’O.N.U. contro la corruzione, adottata dall’Assemblea Generale dell’Organiz</w:t>
      </w:r>
      <w:r>
        <w:rPr>
          <w:rFonts w:ascii="Arial" w:hAnsi="Arial" w:cs="Arial"/>
          <w:sz w:val="21"/>
          <w:szCs w:val="21"/>
        </w:rPr>
        <w:t>zazione in data 31.10.2003 con la risoluzione n. 58/4, sottoscritta dallo Stato italiano in data 09.12.2003 e ratificata con la L.  03.08.2009 n. 116.</w:t>
      </w:r>
    </w:p>
    <w:p w14:paraId="5C374EAD"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 xml:space="preserve">Intesa di data 24.07.2013 in sede di Conferenza Unificata tra Governo ed Enti Locali, attuativa </w:t>
      </w:r>
      <w:r>
        <w:rPr>
          <w:rFonts w:ascii="Arial" w:hAnsi="Arial" w:cs="Arial"/>
          <w:sz w:val="21"/>
          <w:szCs w:val="21"/>
        </w:rPr>
        <w:t>della L. 06.11.2012 n. 190 (art. 1, commi 60 e 61).</w:t>
      </w:r>
    </w:p>
    <w:p w14:paraId="50D21BC9"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Piano nazionale anticorruzione 2013 predisposto dal Dipartimento della Funzione Pubblica, ai sensi della L. 06.11.2012 n. 190, e approvato dalla CIVIT in data 11.09.2013.</w:t>
      </w:r>
    </w:p>
    <w:p w14:paraId="2780DF2A"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Aggiornamento 2015 al Piano Nazio</w:t>
      </w:r>
      <w:r>
        <w:rPr>
          <w:rFonts w:ascii="Arial" w:hAnsi="Arial" w:cs="Arial"/>
          <w:sz w:val="21"/>
          <w:szCs w:val="21"/>
        </w:rPr>
        <w:t>nale Anticorruzione, Determinazione ANAC n. 12 del 28 ottobre 2015</w:t>
      </w:r>
    </w:p>
    <w:p w14:paraId="15FE0C60"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Piano nazionale anticorruzione 2016, predisposto da ANAC ai sensi della L. 06.11.2012 n. 190, Delibera ANAC n.831 del 3 agosto 2016</w:t>
      </w:r>
    </w:p>
    <w:p w14:paraId="4E2D889B"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 xml:space="preserve">Piano nazionale anticorruzione 2017, predisposto da ANAC </w:t>
      </w:r>
      <w:r>
        <w:rPr>
          <w:rFonts w:ascii="Arial" w:hAnsi="Arial" w:cs="Arial"/>
          <w:sz w:val="21"/>
          <w:szCs w:val="21"/>
        </w:rPr>
        <w:t>ai sensi della L. 06.11.2012 n. 190, Delibera ANAC n.1208 del 3 agosto 2016;</w:t>
      </w:r>
    </w:p>
    <w:p w14:paraId="43DE71F5"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Delibera ANAC n. 1134 dell’8 novembre 2017;</w:t>
      </w:r>
    </w:p>
    <w:p w14:paraId="47C6A111"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Circolari n. 1 di data 25.01.2013 e n. 2 di data 29.07.2013 della Presidenza del Consiglio dei Ministri – Dipartimento della Funzione P</w:t>
      </w:r>
      <w:r>
        <w:rPr>
          <w:rFonts w:ascii="Arial" w:hAnsi="Arial" w:cs="Arial"/>
          <w:sz w:val="21"/>
          <w:szCs w:val="21"/>
        </w:rPr>
        <w:t>ubblica.</w:t>
      </w:r>
    </w:p>
    <w:p w14:paraId="2A1DD395"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Linee di indirizzo del Comitato interministeriale (D.P.C.M. 16.01.2013) per la predisposizione, da parte del Dipartimento della Funzione Pubblica, del Piano nazionale anticorruzione di cui alla L. 06.11.2012 n. 190.</w:t>
      </w:r>
    </w:p>
    <w:p w14:paraId="554ABCC4"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D.P.C.M. 18.04.2013 attinente l</w:t>
      </w:r>
      <w:r>
        <w:rPr>
          <w:rFonts w:ascii="Arial" w:hAnsi="Arial" w:cs="Arial"/>
          <w:sz w:val="21"/>
          <w:szCs w:val="21"/>
        </w:rPr>
        <w:t>e modalità per l'istituzione e l'aggiornamento degli elenchi dei fornitori, prestatori di servizi ed esecutori non soggetti a tentativo di infiltrazione mafiosa, di cui all'art. 1, comma 52, della L. 06.11.2012 n. 190.</w:t>
      </w:r>
    </w:p>
    <w:p w14:paraId="2F38898A"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Delibera CIVIT n. 72/2013 con cui è s</w:t>
      </w:r>
      <w:r>
        <w:rPr>
          <w:rFonts w:ascii="Arial" w:hAnsi="Arial" w:cs="Arial"/>
          <w:sz w:val="21"/>
          <w:szCs w:val="21"/>
        </w:rPr>
        <w:t>tato approvato il Piano nazionale anticorruzione predisposto dal Dipartimento della Funzione Pubblica.</w:t>
      </w:r>
    </w:p>
    <w:p w14:paraId="270140E9"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Delibera CIVIT n. 15/2013 in tema di organo competente a nominare il Responsabile della prevenzione della corruzione nei comuni.</w:t>
      </w:r>
    </w:p>
    <w:p w14:paraId="7623F2F3" w14:textId="77777777" w:rsidR="003A719B" w:rsidRDefault="00DF4CA4">
      <w:pPr>
        <w:pStyle w:val="Standard"/>
        <w:numPr>
          <w:ilvl w:val="0"/>
          <w:numId w:val="1"/>
        </w:numPr>
        <w:jc w:val="both"/>
        <w:rPr>
          <w:rFonts w:ascii="Arial" w:hAnsi="Arial" w:cs="Arial"/>
          <w:sz w:val="21"/>
          <w:szCs w:val="21"/>
        </w:rPr>
      </w:pPr>
      <w:r>
        <w:rPr>
          <w:rFonts w:ascii="Arial" w:hAnsi="Arial" w:cs="Arial"/>
          <w:sz w:val="21"/>
          <w:szCs w:val="21"/>
        </w:rPr>
        <w:t xml:space="preserve">Delibera CIVIT n. </w:t>
      </w:r>
      <w:r>
        <w:rPr>
          <w:rFonts w:ascii="Arial" w:hAnsi="Arial" w:cs="Arial"/>
          <w:sz w:val="21"/>
          <w:szCs w:val="21"/>
        </w:rPr>
        <w:t>2/2012 “Linee guida per il miglioramento della predisposizione e dell’aggiornamento del Programma triennale per la trasparenza e l’integrità”.</w:t>
      </w:r>
    </w:p>
    <w:p w14:paraId="5C2C38FB" w14:textId="77777777" w:rsidR="003A719B" w:rsidRDefault="00DF4CA4">
      <w:pPr>
        <w:pStyle w:val="Standard"/>
        <w:numPr>
          <w:ilvl w:val="0"/>
          <w:numId w:val="1"/>
        </w:numPr>
        <w:jc w:val="both"/>
      </w:pPr>
      <w:r>
        <w:rPr>
          <w:rFonts w:ascii="Arial" w:hAnsi="Arial" w:cs="Arial"/>
          <w:sz w:val="21"/>
          <w:szCs w:val="21"/>
        </w:rPr>
        <w:t>Delibera CIVIT n. 105/2010 “Linee guida per la predisposizione del Programma triennale per la trasparenza e l’int</w:t>
      </w:r>
      <w:r>
        <w:rPr>
          <w:rFonts w:ascii="Arial" w:hAnsi="Arial" w:cs="Arial"/>
          <w:sz w:val="21"/>
          <w:szCs w:val="21"/>
        </w:rPr>
        <w:t>egrità (art. 13, comma 6, lettera e, del decreto legislativo 27 ottobre 2009, n. 150)”.</w:t>
      </w:r>
    </w:p>
    <w:sectPr w:rsidR="003A719B">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326D6" w14:textId="77777777" w:rsidR="00000000" w:rsidRDefault="00DF4CA4">
      <w:r>
        <w:separator/>
      </w:r>
    </w:p>
  </w:endnote>
  <w:endnote w:type="continuationSeparator" w:id="0">
    <w:p w14:paraId="46292F8E" w14:textId="77777777" w:rsidR="00000000" w:rsidRDefault="00DF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arSymbol">
    <w:altName w:val="Segoe UI Symbol"/>
    <w:charset w:val="02"/>
    <w:family w:val="auto"/>
    <w:pitch w:val="default"/>
  </w:font>
  <w:font w:name="OpenSymbol">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News Serif">
    <w:altName w:val="Calibri"/>
    <w:charset w:val="00"/>
    <w:family w:val="auto"/>
    <w:pitch w:val="variable"/>
  </w:font>
  <w:font w:name="Roboto">
    <w:charset w:val="00"/>
    <w:family w:val="auto"/>
    <w:pitch w:val="variable"/>
    <w:sig w:usb0="E00002FF" w:usb1="5000205B" w:usb2="00000020" w:usb3="00000000" w:csb0="0000019F" w:csb1="00000000"/>
  </w:font>
  <w:font w:name="Arial Unicode MS">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C29B7" w14:textId="77777777" w:rsidR="00000000" w:rsidRDefault="00DF4CA4">
      <w:r>
        <w:rPr>
          <w:color w:val="000000"/>
        </w:rPr>
        <w:separator/>
      </w:r>
    </w:p>
  </w:footnote>
  <w:footnote w:type="continuationSeparator" w:id="0">
    <w:p w14:paraId="7A5B7A41" w14:textId="77777777" w:rsidR="00000000" w:rsidRDefault="00DF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CCF"/>
    <w:multiLevelType w:val="multilevel"/>
    <w:tmpl w:val="94F4C11A"/>
    <w:styleLink w:val="WW8Num7"/>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BCD78E5"/>
    <w:multiLevelType w:val="multilevel"/>
    <w:tmpl w:val="7B781656"/>
    <w:styleLink w:val="WW8Num8"/>
    <w:lvl w:ilvl="0">
      <w:numFmt w:val="bullet"/>
      <w:lvlText w:val=""/>
      <w:lvlJc w:val="left"/>
      <w:pPr>
        <w:ind w:left="720" w:hanging="360"/>
      </w:pPr>
      <w:rPr>
        <w:rFonts w:ascii="Wingdings" w:hAnsi="Wingdings" w:cs="Wingdings"/>
        <w:kern w:val="3"/>
        <w:sz w:val="21"/>
        <w:szCs w:val="21"/>
        <w:lang w:eastAsia="zh-C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DE822CC"/>
    <w:multiLevelType w:val="multilevel"/>
    <w:tmpl w:val="58D08946"/>
    <w:styleLink w:val="WW8Num15"/>
    <w:lvl w:ilvl="0">
      <w:numFmt w:val="bullet"/>
      <w:lvlText w:val=""/>
      <w:lvlJc w:val="left"/>
      <w:pPr>
        <w:ind w:left="720" w:hanging="360"/>
      </w:pPr>
      <w:rPr>
        <w:rFonts w:ascii="Wingdings" w:hAnsi="Wingdings" w:cs="Wingdings"/>
        <w:kern w:val="3"/>
        <w:sz w:val="21"/>
        <w:szCs w:val="21"/>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A346C03"/>
    <w:multiLevelType w:val="multilevel"/>
    <w:tmpl w:val="E5CA286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BB40DF5"/>
    <w:multiLevelType w:val="multilevel"/>
    <w:tmpl w:val="653AF624"/>
    <w:lvl w:ilvl="0">
      <w:numFmt w:val="bullet"/>
      <w:lvlText w:val=""/>
      <w:lvlJc w:val="left"/>
      <w:pPr>
        <w:ind w:left="360" w:hanging="360"/>
      </w:pPr>
      <w:rPr>
        <w:rFonts w:ascii="Symbol" w:hAnsi="Symbol"/>
        <w:b/>
        <w:i w:val="0"/>
        <w:color w:val="auto"/>
      </w:rPr>
    </w:lvl>
    <w:lvl w:ilvl="1">
      <w:numFmt w:val="bullet"/>
      <w:lvlText w:val="o"/>
      <w:lvlJc w:val="left"/>
      <w:pPr>
        <w:ind w:left="810" w:hanging="360"/>
      </w:pPr>
      <w:rPr>
        <w:rFonts w:ascii="Courier New" w:hAnsi="Courier New" w:cs="Courier New"/>
      </w:rPr>
    </w:lvl>
    <w:lvl w:ilvl="2">
      <w:numFmt w:val="bullet"/>
      <w:lvlText w:val=""/>
      <w:lvlJc w:val="left"/>
      <w:pPr>
        <w:ind w:left="1530" w:hanging="360"/>
      </w:pPr>
      <w:rPr>
        <w:rFonts w:ascii="Wingdings" w:hAnsi="Wingdings"/>
      </w:rPr>
    </w:lvl>
    <w:lvl w:ilvl="3">
      <w:numFmt w:val="bullet"/>
      <w:lvlText w:val=""/>
      <w:lvlJc w:val="left"/>
      <w:pPr>
        <w:ind w:left="2250" w:hanging="360"/>
      </w:pPr>
      <w:rPr>
        <w:rFonts w:ascii="Symbol" w:hAnsi="Symbol"/>
      </w:rPr>
    </w:lvl>
    <w:lvl w:ilvl="4">
      <w:numFmt w:val="bullet"/>
      <w:lvlText w:val="o"/>
      <w:lvlJc w:val="left"/>
      <w:pPr>
        <w:ind w:left="2970" w:hanging="360"/>
      </w:pPr>
      <w:rPr>
        <w:rFonts w:ascii="Courier New" w:hAnsi="Courier New" w:cs="Courier New"/>
      </w:rPr>
    </w:lvl>
    <w:lvl w:ilvl="5">
      <w:numFmt w:val="bullet"/>
      <w:lvlText w:val=""/>
      <w:lvlJc w:val="left"/>
      <w:pPr>
        <w:ind w:left="3690" w:hanging="360"/>
      </w:pPr>
      <w:rPr>
        <w:rFonts w:ascii="Wingdings" w:hAnsi="Wingdings"/>
      </w:rPr>
    </w:lvl>
    <w:lvl w:ilvl="6">
      <w:numFmt w:val="bullet"/>
      <w:lvlText w:val=""/>
      <w:lvlJc w:val="left"/>
      <w:pPr>
        <w:ind w:left="4410" w:hanging="360"/>
      </w:pPr>
      <w:rPr>
        <w:rFonts w:ascii="Symbol" w:hAnsi="Symbol"/>
      </w:rPr>
    </w:lvl>
    <w:lvl w:ilvl="7">
      <w:numFmt w:val="bullet"/>
      <w:lvlText w:val="o"/>
      <w:lvlJc w:val="left"/>
      <w:pPr>
        <w:ind w:left="5130" w:hanging="360"/>
      </w:pPr>
      <w:rPr>
        <w:rFonts w:ascii="Courier New" w:hAnsi="Courier New" w:cs="Courier New"/>
      </w:rPr>
    </w:lvl>
    <w:lvl w:ilvl="8">
      <w:numFmt w:val="bullet"/>
      <w:lvlText w:val=""/>
      <w:lvlJc w:val="left"/>
      <w:pPr>
        <w:ind w:left="5850" w:hanging="360"/>
      </w:pPr>
      <w:rPr>
        <w:rFonts w:ascii="Wingdings" w:hAnsi="Wingdings"/>
      </w:rPr>
    </w:lvl>
  </w:abstractNum>
  <w:abstractNum w:abstractNumId="5" w15:restartNumberingAfterBreak="0">
    <w:nsid w:val="22401E65"/>
    <w:multiLevelType w:val="multilevel"/>
    <w:tmpl w:val="8E1AF1E6"/>
    <w:lvl w:ilvl="0">
      <w:numFmt w:val="bullet"/>
      <w:lvlText w:val=""/>
      <w:lvlJc w:val="left"/>
      <w:pPr>
        <w:ind w:left="360" w:hanging="360"/>
      </w:pPr>
      <w:rPr>
        <w:rFonts w:ascii="Symbol" w:hAnsi="Symbol"/>
        <w:b/>
        <w:i w:val="0"/>
        <w:color w:val="auto"/>
      </w:rPr>
    </w:lvl>
    <w:lvl w:ilvl="1">
      <w:numFmt w:val="bullet"/>
      <w:lvlText w:val="o"/>
      <w:lvlJc w:val="left"/>
      <w:pPr>
        <w:ind w:left="810" w:hanging="360"/>
      </w:pPr>
      <w:rPr>
        <w:rFonts w:ascii="Courier New" w:hAnsi="Courier New" w:cs="Courier New"/>
      </w:rPr>
    </w:lvl>
    <w:lvl w:ilvl="2">
      <w:numFmt w:val="bullet"/>
      <w:lvlText w:val=""/>
      <w:lvlJc w:val="left"/>
      <w:pPr>
        <w:ind w:left="1530" w:hanging="360"/>
      </w:pPr>
      <w:rPr>
        <w:rFonts w:ascii="Wingdings" w:hAnsi="Wingdings"/>
      </w:rPr>
    </w:lvl>
    <w:lvl w:ilvl="3">
      <w:numFmt w:val="bullet"/>
      <w:lvlText w:val=""/>
      <w:lvlJc w:val="left"/>
      <w:pPr>
        <w:ind w:left="2250" w:hanging="360"/>
      </w:pPr>
      <w:rPr>
        <w:rFonts w:ascii="Symbol" w:hAnsi="Symbol"/>
      </w:rPr>
    </w:lvl>
    <w:lvl w:ilvl="4">
      <w:numFmt w:val="bullet"/>
      <w:lvlText w:val="o"/>
      <w:lvlJc w:val="left"/>
      <w:pPr>
        <w:ind w:left="2970" w:hanging="360"/>
      </w:pPr>
      <w:rPr>
        <w:rFonts w:ascii="Courier New" w:hAnsi="Courier New" w:cs="Courier New"/>
      </w:rPr>
    </w:lvl>
    <w:lvl w:ilvl="5">
      <w:numFmt w:val="bullet"/>
      <w:lvlText w:val=""/>
      <w:lvlJc w:val="left"/>
      <w:pPr>
        <w:ind w:left="3690" w:hanging="360"/>
      </w:pPr>
      <w:rPr>
        <w:rFonts w:ascii="Wingdings" w:hAnsi="Wingdings"/>
      </w:rPr>
    </w:lvl>
    <w:lvl w:ilvl="6">
      <w:numFmt w:val="bullet"/>
      <w:lvlText w:val=""/>
      <w:lvlJc w:val="left"/>
      <w:pPr>
        <w:ind w:left="4410" w:hanging="360"/>
      </w:pPr>
      <w:rPr>
        <w:rFonts w:ascii="Symbol" w:hAnsi="Symbol"/>
      </w:rPr>
    </w:lvl>
    <w:lvl w:ilvl="7">
      <w:numFmt w:val="bullet"/>
      <w:lvlText w:val="o"/>
      <w:lvlJc w:val="left"/>
      <w:pPr>
        <w:ind w:left="5130" w:hanging="360"/>
      </w:pPr>
      <w:rPr>
        <w:rFonts w:ascii="Courier New" w:hAnsi="Courier New" w:cs="Courier New"/>
      </w:rPr>
    </w:lvl>
    <w:lvl w:ilvl="8">
      <w:numFmt w:val="bullet"/>
      <w:lvlText w:val=""/>
      <w:lvlJc w:val="left"/>
      <w:pPr>
        <w:ind w:left="5850" w:hanging="360"/>
      </w:pPr>
      <w:rPr>
        <w:rFonts w:ascii="Wingdings" w:hAnsi="Wingdings"/>
      </w:rPr>
    </w:lvl>
  </w:abstractNum>
  <w:abstractNum w:abstractNumId="6" w15:restartNumberingAfterBreak="0">
    <w:nsid w:val="39BF0143"/>
    <w:multiLevelType w:val="multilevel"/>
    <w:tmpl w:val="35008EFE"/>
    <w:lvl w:ilvl="0">
      <w:numFmt w:val="bullet"/>
      <w:lvlText w:val=""/>
      <w:lvlJc w:val="left"/>
      <w:pPr>
        <w:ind w:left="360" w:hanging="360"/>
      </w:pPr>
      <w:rPr>
        <w:rFonts w:ascii="Symbol" w:hAnsi="Symbol"/>
        <w:b/>
        <w:i w:val="0"/>
        <w:color w:val="auto"/>
      </w:rPr>
    </w:lvl>
    <w:lvl w:ilvl="1">
      <w:numFmt w:val="bullet"/>
      <w:lvlText w:val="o"/>
      <w:lvlJc w:val="left"/>
      <w:pPr>
        <w:ind w:left="810" w:hanging="360"/>
      </w:pPr>
      <w:rPr>
        <w:rFonts w:ascii="Courier New" w:hAnsi="Courier New" w:cs="Courier New"/>
      </w:rPr>
    </w:lvl>
    <w:lvl w:ilvl="2">
      <w:numFmt w:val="bullet"/>
      <w:lvlText w:val=""/>
      <w:lvlJc w:val="left"/>
      <w:pPr>
        <w:ind w:left="1530" w:hanging="360"/>
      </w:pPr>
      <w:rPr>
        <w:rFonts w:ascii="Wingdings" w:hAnsi="Wingdings"/>
      </w:rPr>
    </w:lvl>
    <w:lvl w:ilvl="3">
      <w:numFmt w:val="bullet"/>
      <w:lvlText w:val=""/>
      <w:lvlJc w:val="left"/>
      <w:pPr>
        <w:ind w:left="2250" w:hanging="360"/>
      </w:pPr>
      <w:rPr>
        <w:rFonts w:ascii="Symbol" w:hAnsi="Symbol"/>
      </w:rPr>
    </w:lvl>
    <w:lvl w:ilvl="4">
      <w:numFmt w:val="bullet"/>
      <w:lvlText w:val="o"/>
      <w:lvlJc w:val="left"/>
      <w:pPr>
        <w:ind w:left="2970" w:hanging="360"/>
      </w:pPr>
      <w:rPr>
        <w:rFonts w:ascii="Courier New" w:hAnsi="Courier New" w:cs="Courier New"/>
      </w:rPr>
    </w:lvl>
    <w:lvl w:ilvl="5">
      <w:numFmt w:val="bullet"/>
      <w:lvlText w:val=""/>
      <w:lvlJc w:val="left"/>
      <w:pPr>
        <w:ind w:left="3690" w:hanging="360"/>
      </w:pPr>
      <w:rPr>
        <w:rFonts w:ascii="Wingdings" w:hAnsi="Wingdings"/>
      </w:rPr>
    </w:lvl>
    <w:lvl w:ilvl="6">
      <w:numFmt w:val="bullet"/>
      <w:lvlText w:val=""/>
      <w:lvlJc w:val="left"/>
      <w:pPr>
        <w:ind w:left="4410" w:hanging="360"/>
      </w:pPr>
      <w:rPr>
        <w:rFonts w:ascii="Symbol" w:hAnsi="Symbol"/>
      </w:rPr>
    </w:lvl>
    <w:lvl w:ilvl="7">
      <w:numFmt w:val="bullet"/>
      <w:lvlText w:val="o"/>
      <w:lvlJc w:val="left"/>
      <w:pPr>
        <w:ind w:left="5130" w:hanging="360"/>
      </w:pPr>
      <w:rPr>
        <w:rFonts w:ascii="Courier New" w:hAnsi="Courier New" w:cs="Courier New"/>
      </w:rPr>
    </w:lvl>
    <w:lvl w:ilvl="8">
      <w:numFmt w:val="bullet"/>
      <w:lvlText w:val=""/>
      <w:lvlJc w:val="left"/>
      <w:pPr>
        <w:ind w:left="5850" w:hanging="360"/>
      </w:pPr>
      <w:rPr>
        <w:rFonts w:ascii="Wingdings" w:hAnsi="Wingdings"/>
      </w:rPr>
    </w:lvl>
  </w:abstractNum>
  <w:abstractNum w:abstractNumId="7" w15:restartNumberingAfterBreak="0">
    <w:nsid w:val="4E87557D"/>
    <w:multiLevelType w:val="multilevel"/>
    <w:tmpl w:val="EEC000EA"/>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8" w15:restartNumberingAfterBreak="0">
    <w:nsid w:val="572202BB"/>
    <w:multiLevelType w:val="multilevel"/>
    <w:tmpl w:val="FFB2DDAE"/>
    <w:styleLink w:val="WW8Num10"/>
    <w:lvl w:ilvl="0">
      <w:numFmt w:val="bullet"/>
      <w:lvlText w:val=""/>
      <w:lvlJc w:val="left"/>
      <w:pPr>
        <w:ind w:left="1069" w:hanging="360"/>
      </w:pPr>
      <w:rPr>
        <w:rFonts w:ascii="Wingdings" w:hAnsi="Wingdings" w:cs="Wingdings"/>
        <w:color w:val="000000"/>
        <w:sz w:val="21"/>
        <w:szCs w:val="21"/>
      </w:rPr>
    </w:lvl>
    <w:lvl w:ilvl="1">
      <w:numFmt w:val="bullet"/>
      <w:lvlText w:val=""/>
      <w:lvlJc w:val="left"/>
      <w:pPr>
        <w:ind w:left="1429" w:hanging="360"/>
      </w:pPr>
      <w:rPr>
        <w:rFonts w:ascii="Wingdings" w:hAnsi="Wingdings" w:cs="Wingdings"/>
        <w:color w:val="000000"/>
        <w:sz w:val="21"/>
        <w:szCs w:val="21"/>
      </w:rPr>
    </w:lvl>
    <w:lvl w:ilvl="2">
      <w:numFmt w:val="bullet"/>
      <w:lvlText w:val=""/>
      <w:lvlJc w:val="left"/>
      <w:pPr>
        <w:ind w:left="1789" w:hanging="360"/>
      </w:pPr>
      <w:rPr>
        <w:rFonts w:ascii="Wingdings" w:hAnsi="Wingdings" w:cs="Wingdings"/>
        <w:color w:val="000000"/>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color w:val="000000"/>
        <w:sz w:val="21"/>
        <w:szCs w:val="21"/>
      </w:rPr>
    </w:lvl>
    <w:lvl w:ilvl="6">
      <w:numFmt w:val="bullet"/>
      <w:lvlText w:val=""/>
      <w:lvlJc w:val="left"/>
      <w:pPr>
        <w:ind w:left="3229" w:hanging="360"/>
      </w:pPr>
      <w:rPr>
        <w:rFonts w:ascii="Wingdings" w:hAnsi="Wingdings" w:cs="Wingdings"/>
        <w:color w:val="000000"/>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9" w15:restartNumberingAfterBreak="0">
    <w:nsid w:val="5B312AE3"/>
    <w:multiLevelType w:val="multilevel"/>
    <w:tmpl w:val="0F5C9446"/>
    <w:styleLink w:val="WW8Num5"/>
    <w:lvl w:ilvl="0">
      <w:numFmt w:val="bullet"/>
      <w:lvlText w:val=""/>
      <w:lvlJc w:val="left"/>
      <w:pPr>
        <w:ind w:left="72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C5E4879"/>
    <w:multiLevelType w:val="multilevel"/>
    <w:tmpl w:val="1ADCB0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5E09549D"/>
    <w:multiLevelType w:val="multilevel"/>
    <w:tmpl w:val="A28C6C22"/>
    <w:styleLink w:val="WW8Num13"/>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5E9548E2"/>
    <w:multiLevelType w:val="multilevel"/>
    <w:tmpl w:val="85F23010"/>
    <w:lvl w:ilvl="0">
      <w:numFmt w:val="bullet"/>
      <w:lvlText w:val="-"/>
      <w:lvlJc w:val="left"/>
      <w:pPr>
        <w:ind w:left="1146" w:hanging="360"/>
      </w:pPr>
      <w:rPr>
        <w:rFonts w:ascii="Calibri" w:eastAsia="Calibri" w:hAnsi="Calibri" w:cs="Calibri"/>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3" w15:restartNumberingAfterBreak="0">
    <w:nsid w:val="5FCD038A"/>
    <w:multiLevelType w:val="multilevel"/>
    <w:tmpl w:val="F6B04BF0"/>
    <w:styleLink w:val="WW8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60365383"/>
    <w:multiLevelType w:val="multilevel"/>
    <w:tmpl w:val="0B02908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67155B36"/>
    <w:multiLevelType w:val="multilevel"/>
    <w:tmpl w:val="C950BE9C"/>
    <w:styleLink w:val="WW8Num6"/>
    <w:lvl w:ilvl="0">
      <w:numFmt w:val="bullet"/>
      <w:lvlText w:val=""/>
      <w:lvlJc w:val="left"/>
      <w:pPr>
        <w:ind w:left="1069" w:hanging="360"/>
      </w:pPr>
      <w:rPr>
        <w:rFonts w:ascii="Wingdings" w:hAnsi="Wingdings" w:cs="Wingdings"/>
        <w:sz w:val="21"/>
        <w:szCs w:val="21"/>
      </w:rPr>
    </w:lvl>
    <w:lvl w:ilvl="1">
      <w:numFmt w:val="bullet"/>
      <w:lvlText w:val=""/>
      <w:lvlJc w:val="left"/>
      <w:pPr>
        <w:ind w:left="1429" w:hanging="360"/>
      </w:pPr>
      <w:rPr>
        <w:rFonts w:ascii="Wingdings" w:hAnsi="Wingdings" w:cs="Wingdings"/>
        <w:sz w:val="21"/>
        <w:szCs w:val="21"/>
      </w:rPr>
    </w:lvl>
    <w:lvl w:ilvl="2">
      <w:numFmt w:val="bullet"/>
      <w:lvlText w:val=""/>
      <w:lvlJc w:val="left"/>
      <w:pPr>
        <w:ind w:left="1789" w:hanging="360"/>
      </w:pPr>
      <w:rPr>
        <w:rFonts w:ascii="Wingdings" w:hAnsi="Wingdings" w:cs="Wingdings"/>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sz w:val="21"/>
        <w:szCs w:val="21"/>
      </w:rPr>
    </w:lvl>
    <w:lvl w:ilvl="6">
      <w:numFmt w:val="bullet"/>
      <w:lvlText w:val=""/>
      <w:lvlJc w:val="left"/>
      <w:pPr>
        <w:ind w:left="3229" w:hanging="360"/>
      </w:pPr>
      <w:rPr>
        <w:rFonts w:ascii="Wingdings" w:hAnsi="Wingdings" w:cs="Wingdings"/>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16" w15:restartNumberingAfterBreak="0">
    <w:nsid w:val="74011A21"/>
    <w:multiLevelType w:val="multilevel"/>
    <w:tmpl w:val="51F81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EE7DAD"/>
    <w:multiLevelType w:val="multilevel"/>
    <w:tmpl w:val="69CE63F4"/>
    <w:styleLink w:val="WW8Num4"/>
    <w:lvl w:ilvl="0">
      <w:numFmt w:val="bullet"/>
      <w:lvlText w:val=""/>
      <w:lvlJc w:val="left"/>
      <w:pPr>
        <w:ind w:left="36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7CDB3F78"/>
    <w:multiLevelType w:val="multilevel"/>
    <w:tmpl w:val="4D460574"/>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9" w15:restartNumberingAfterBreak="0">
    <w:nsid w:val="7E2644D3"/>
    <w:multiLevelType w:val="multilevel"/>
    <w:tmpl w:val="4A46B70E"/>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num w:numId="1">
    <w:abstractNumId w:val="2"/>
  </w:num>
  <w:num w:numId="2">
    <w:abstractNumId w:val="13"/>
  </w:num>
  <w:num w:numId="3">
    <w:abstractNumId w:val="11"/>
  </w:num>
  <w:num w:numId="4">
    <w:abstractNumId w:val="9"/>
  </w:num>
  <w:num w:numId="5">
    <w:abstractNumId w:val="15"/>
  </w:num>
  <w:num w:numId="6">
    <w:abstractNumId w:val="0"/>
  </w:num>
  <w:num w:numId="7">
    <w:abstractNumId w:val="8"/>
  </w:num>
  <w:num w:numId="8">
    <w:abstractNumId w:val="17"/>
  </w:num>
  <w:num w:numId="9">
    <w:abstractNumId w:val="19"/>
  </w:num>
  <w:num w:numId="10">
    <w:abstractNumId w:val="1"/>
  </w:num>
  <w:num w:numId="11">
    <w:abstractNumId w:val="13"/>
    <w:lvlOverride w:ilvl="0">
      <w:startOverride w:val="1"/>
    </w:lvlOverride>
  </w:num>
  <w:num w:numId="12">
    <w:abstractNumId w:val="18"/>
  </w:num>
  <w:num w:numId="13">
    <w:abstractNumId w:val="12"/>
  </w:num>
  <w:num w:numId="14">
    <w:abstractNumId w:val="7"/>
  </w:num>
  <w:num w:numId="15">
    <w:abstractNumId w:val="3"/>
  </w:num>
  <w:num w:numId="16">
    <w:abstractNumId w:val="16"/>
  </w:num>
  <w:num w:numId="17">
    <w:abstractNumId w:val="14"/>
  </w:num>
  <w:num w:numId="18">
    <w:abstractNumId w:val="4"/>
  </w:num>
  <w:num w:numId="19">
    <w:abstractNumId w:val="6"/>
  </w:num>
  <w:num w:numId="20">
    <w:abstractNumId w:val="5"/>
  </w:num>
  <w:num w:numId="21">
    <w:abstractNumId w:val="11"/>
    <w:lvlOverride w:ilvl="0">
      <w:startOverride w:val="1"/>
    </w:lvlOverride>
  </w:num>
  <w:num w:numId="22">
    <w:abstractNumId w:val="9"/>
    <w:lvlOverride w:ilvl="0"/>
  </w:num>
  <w:num w:numId="23">
    <w:abstractNumId w:val="15"/>
    <w:lvlOverride w:ilvl="0"/>
  </w:num>
  <w:num w:numId="24">
    <w:abstractNumId w:val="0"/>
    <w:lvlOverride w:ilvl="0">
      <w:startOverride w:val="1"/>
    </w:lvlOverride>
  </w:num>
  <w:num w:numId="25">
    <w:abstractNumId w:val="8"/>
    <w:lvlOverride w:ilvl="0"/>
  </w:num>
  <w:num w:numId="26">
    <w:abstractNumId w:val="0"/>
    <w:lvlOverride w:ilvl="0">
      <w:startOverride w:val="1"/>
    </w:lvlOverride>
  </w:num>
  <w:num w:numId="27">
    <w:abstractNumId w:val="17"/>
    <w:lvlOverride w:ilvl="0"/>
  </w:num>
  <w:num w:numId="28">
    <w:abstractNumId w:val="19"/>
    <w:lvlOverride w:ilvl="0">
      <w:startOverride w:val="1"/>
    </w:lvlOverride>
  </w:num>
  <w:num w:numId="29">
    <w:abstractNumId w:val="10"/>
  </w:num>
  <w:num w:numId="30">
    <w:abstractNumId w:val="1"/>
    <w:lvlOverride w:ilvl="0"/>
  </w:num>
  <w:num w:numId="31">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3A719B"/>
    <w:rsid w:val="003A719B"/>
    <w:rsid w:val="00DF4C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88D58"/>
  <w15:docId w15:val="{06D740D9-1B55-41F7-947A-2D153C711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Standard"/>
    <w:next w:val="Standard"/>
    <w:uiPriority w:val="9"/>
    <w:qFormat/>
    <w:pPr>
      <w:keepNext/>
      <w:spacing w:before="240" w:after="60"/>
      <w:outlineLvl w:val="0"/>
    </w:pPr>
    <w:rPr>
      <w:b/>
      <w:sz w:val="28"/>
      <w:szCs w:val="20"/>
    </w:rPr>
  </w:style>
  <w:style w:type="paragraph" w:styleId="Titolo2">
    <w:name w:val="heading 2"/>
    <w:basedOn w:val="Standard"/>
    <w:next w:val="Standard"/>
    <w:uiPriority w:val="9"/>
    <w:unhideWhenUsed/>
    <w:qFormat/>
    <w:pPr>
      <w:keepNext/>
      <w:spacing w:before="240" w:after="60"/>
      <w:outlineLvl w:val="1"/>
    </w:pPr>
    <w:rPr>
      <w:b/>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olosommario">
    <w:name w:val="TOC Heading"/>
    <w:basedOn w:val="Titolo1"/>
    <w:next w:val="Standard"/>
    <w:pPr>
      <w:keepLines/>
      <w:spacing w:before="480" w:after="0"/>
    </w:pPr>
    <w:rPr>
      <w:rFonts w:ascii="Cambria" w:eastAsia="Cambria" w:hAnsi="Cambria" w:cs="Cambria"/>
      <w:bCs/>
      <w:color w:val="365F91"/>
      <w:szCs w:val="28"/>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Standard"/>
    <w:next w:val="Standard"/>
    <w:pPr>
      <w:spacing w:before="120"/>
      <w:ind w:left="284" w:right="282" w:hanging="284"/>
    </w:pPr>
    <w:rPr>
      <w:rFonts w:ascii="Arial" w:eastAsia="Arial" w:hAnsi="Arial" w:cs="Arial"/>
      <w:b/>
      <w:caps/>
    </w:rPr>
  </w:style>
  <w:style w:type="paragraph" w:customStyle="1" w:styleId="Contents2">
    <w:name w:val="Contents 2"/>
    <w:basedOn w:val="Standard"/>
    <w:next w:val="Standard"/>
    <w:pPr>
      <w:ind w:left="709" w:right="282" w:hanging="425"/>
    </w:pPr>
    <w:rPr>
      <w:rFonts w:ascii="Arial" w:eastAsia="Arial" w:hAnsi="Arial" w:cs="Arial"/>
      <w:smallCaps/>
    </w:rPr>
  </w:style>
  <w:style w:type="paragraph" w:customStyle="1" w:styleId="Footnote">
    <w:name w:val="Footnote"/>
    <w:basedOn w:val="Standard"/>
    <w:pPr>
      <w:suppressLineNumbers/>
      <w:ind w:left="283" w:hanging="283"/>
    </w:pPr>
    <w:rPr>
      <w:sz w:val="20"/>
      <w:szCs w:val="20"/>
    </w:rPr>
  </w:style>
  <w:style w:type="paragraph" w:styleId="Corpodeltesto2">
    <w:name w:val="Body Text 2"/>
    <w:basedOn w:val="Standard"/>
    <w:pPr>
      <w:snapToGrid w:val="0"/>
      <w:jc w:val="both"/>
    </w:pPr>
    <w:rPr>
      <w:szCs w:val="20"/>
    </w:rPr>
  </w:style>
  <w:style w:type="paragraph" w:styleId="Paragrafoelenco">
    <w:name w:val="List Paragraph"/>
    <w:basedOn w:val="Standard"/>
    <w:pPr>
      <w:ind w:left="720"/>
    </w:pPr>
  </w:style>
  <w:style w:type="paragraph" w:customStyle="1" w:styleId="Default">
    <w:name w:val="Default"/>
    <w:pPr>
      <w:widowControl/>
      <w:suppressAutoHyphens/>
      <w:autoSpaceDE w:val="0"/>
      <w:spacing w:after="200" w:line="276" w:lineRule="auto"/>
      <w:jc w:val="both"/>
    </w:pPr>
    <w:rPr>
      <w:rFonts w:ascii="Garamond" w:eastAsia="Times New Roman" w:hAnsi="Garamond" w:cs="Garamond"/>
      <w:color w:val="000000"/>
      <w:lang w:bidi="ar-SA"/>
    </w:rPr>
  </w:style>
  <w:style w:type="paragraph" w:styleId="NormaleWeb">
    <w:name w:val="Normal (Web)"/>
    <w:basedOn w:val="Standard"/>
    <w:pPr>
      <w:spacing w:before="280" w:after="142" w:line="288" w:lineRule="auto"/>
    </w:pPr>
  </w:style>
  <w:style w:type="paragraph" w:customStyle="1" w:styleId="NormaleWebArial">
    <w:name w:val="Normale (Web) + Arial"/>
    <w:basedOn w:val="NormaleWeb"/>
    <w:pPr>
      <w:spacing w:before="0" w:after="0" w:line="360" w:lineRule="auto"/>
      <w:jc w:val="both"/>
    </w:pPr>
    <w:rPr>
      <w:b/>
    </w:rPr>
  </w:style>
  <w:style w:type="paragraph" w:customStyle="1" w:styleId="P">
    <w:name w:val="P"/>
    <w:pPr>
      <w:widowControl/>
      <w:suppressAutoHyphens/>
      <w:spacing w:after="200" w:line="276" w:lineRule="auto"/>
      <w:jc w:val="both"/>
    </w:pPr>
    <w:rPr>
      <w:rFonts w:ascii="News Serif" w:eastAsia="Times New Roman" w:hAnsi="News Serif" w:cs="News Serif"/>
      <w:szCs w:val="20"/>
      <w:lang w:bidi="ar-SA"/>
    </w:rPr>
  </w:style>
  <w:style w:type="character" w:customStyle="1" w:styleId="Internetlink">
    <w:name w:val="Internet link"/>
    <w:rPr>
      <w:color w:val="000080"/>
      <w:u w:val="single"/>
    </w:rPr>
  </w:style>
  <w:style w:type="character" w:customStyle="1" w:styleId="Footnoteanchor">
    <w:name w:val="Footnote anchor"/>
    <w:rPr>
      <w:position w:val="0"/>
      <w:vertAlign w:val="superscript"/>
    </w:rPr>
  </w:style>
  <w:style w:type="character" w:customStyle="1" w:styleId="FootnoteSymbol">
    <w:name w:val="Footnote Symbol"/>
  </w:style>
  <w:style w:type="character" w:styleId="Rimandonotaapidipagina">
    <w:name w:val="footnote reference"/>
    <w:basedOn w:val="Carpredefinitoparagrafo"/>
    <w:rPr>
      <w:position w:val="0"/>
      <w:vertAlign w:val="superscript"/>
    </w:rPr>
  </w:style>
  <w:style w:type="character" w:styleId="Collegamentoipertestuale">
    <w:name w:val="Hyperlink"/>
    <w:basedOn w:val="Carpredefinitoparagrafo"/>
    <w:rPr>
      <w:color w:val="0563C1"/>
      <w:u w:val="single"/>
    </w:rPr>
  </w:style>
  <w:style w:type="numbering" w:customStyle="1" w:styleId="WW8Num15">
    <w:name w:val="WW8Num15"/>
    <w:basedOn w:val="Nessunelenco"/>
    <w:pPr>
      <w:numPr>
        <w:numId w:val="1"/>
      </w:numPr>
    </w:pPr>
  </w:style>
  <w:style w:type="numbering" w:customStyle="1" w:styleId="WW8Num11">
    <w:name w:val="WW8Num11"/>
    <w:basedOn w:val="Nessunelenco"/>
    <w:pPr>
      <w:numPr>
        <w:numId w:val="2"/>
      </w:numPr>
    </w:pPr>
  </w:style>
  <w:style w:type="numbering" w:customStyle="1" w:styleId="WW8Num13">
    <w:name w:val="WW8Num13"/>
    <w:basedOn w:val="Nessunelenco"/>
    <w:pPr>
      <w:numPr>
        <w:numId w:val="3"/>
      </w:numPr>
    </w:pPr>
  </w:style>
  <w:style w:type="numbering" w:customStyle="1" w:styleId="WW8Num5">
    <w:name w:val="WW8Num5"/>
    <w:basedOn w:val="Nessunelenco"/>
    <w:pPr>
      <w:numPr>
        <w:numId w:val="4"/>
      </w:numPr>
    </w:pPr>
  </w:style>
  <w:style w:type="numbering" w:customStyle="1" w:styleId="WW8Num6">
    <w:name w:val="WW8Num6"/>
    <w:basedOn w:val="Nessunelenco"/>
    <w:pPr>
      <w:numPr>
        <w:numId w:val="5"/>
      </w:numPr>
    </w:pPr>
  </w:style>
  <w:style w:type="numbering" w:customStyle="1" w:styleId="WW8Num7">
    <w:name w:val="WW8Num7"/>
    <w:basedOn w:val="Nessunelenco"/>
    <w:pPr>
      <w:numPr>
        <w:numId w:val="6"/>
      </w:numPr>
    </w:pPr>
  </w:style>
  <w:style w:type="numbering" w:customStyle="1" w:styleId="WW8Num10">
    <w:name w:val="WW8Num10"/>
    <w:basedOn w:val="Nessunelenco"/>
    <w:pPr>
      <w:numPr>
        <w:numId w:val="7"/>
      </w:numPr>
    </w:pPr>
  </w:style>
  <w:style w:type="numbering" w:customStyle="1" w:styleId="WW8Num4">
    <w:name w:val="WW8Num4"/>
    <w:basedOn w:val="Nessunelenco"/>
    <w:pPr>
      <w:numPr>
        <w:numId w:val="8"/>
      </w:numPr>
    </w:pPr>
  </w:style>
  <w:style w:type="numbering" w:customStyle="1" w:styleId="WWNum1">
    <w:name w:val="WWNum1"/>
    <w:basedOn w:val="Nessunelenco"/>
    <w:pPr>
      <w:numPr>
        <w:numId w:val="9"/>
      </w:numPr>
    </w:pPr>
  </w:style>
  <w:style w:type="numbering" w:customStyle="1" w:styleId="WW8Num8">
    <w:name w:val="WW8Num8"/>
    <w:basedOn w:val="Nessunelenco"/>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__RefHeading___Toc1948_761212699" TargetMode="External"/><Relationship Id="rId18" Type="http://schemas.openxmlformats.org/officeDocument/2006/relationships/hyperlink" Target="#__RefHeading___Toc1958_761212699" TargetMode="External"/><Relationship Id="rId26" Type="http://schemas.openxmlformats.org/officeDocument/2006/relationships/hyperlink" Target="#__RefHeading___Toc1974_761212699" TargetMode="External"/><Relationship Id="rId39" Type="http://schemas.openxmlformats.org/officeDocument/2006/relationships/hyperlink" Target="#__RefHeading___Toc1992_761212699" TargetMode="External"/><Relationship Id="rId21" Type="http://schemas.openxmlformats.org/officeDocument/2006/relationships/hyperlink" Target="#__RefHeading___Toc1964_761212699" TargetMode="External"/><Relationship Id="rId34" Type="http://schemas.openxmlformats.org/officeDocument/2006/relationships/hyperlink" Target="#__RefHeading___Toc9049_3259834511" TargetMode="External"/><Relationship Id="rId42" Type="http://schemas.openxmlformats.org/officeDocument/2006/relationships/hyperlink" Target="http://www.provincia.tn.it/binary/pat_portale/anticorruzione_pat/Rapporto_sulla_sicurezza_inTtrent%20ino_10_2018.1547130902.pdf" TargetMode="External"/><Relationship Id="rId47" Type="http://schemas.openxmlformats.org/officeDocument/2006/relationships/fontTable" Target="fontTable.xml"/><Relationship Id="rId7" Type="http://schemas.openxmlformats.org/officeDocument/2006/relationships/hyperlink" Target="#__RefHeading___Toc1938_761212699" TargetMode="External"/><Relationship Id="rId2" Type="http://schemas.openxmlformats.org/officeDocument/2006/relationships/styles" Target="styles.xml"/><Relationship Id="rId16" Type="http://schemas.openxmlformats.org/officeDocument/2006/relationships/hyperlink" Target="#__RefHeading___Toc1954_761212699" TargetMode="External"/><Relationship Id="rId29" Type="http://schemas.openxmlformats.org/officeDocument/2006/relationships/hyperlink" Target="#__RefHeading___Toc1980_7612126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_RefHeading___Toc1944_761212699" TargetMode="External"/><Relationship Id="rId24" Type="http://schemas.openxmlformats.org/officeDocument/2006/relationships/hyperlink" Target="#__RefHeading___Toc1970_761212699" TargetMode="External"/><Relationship Id="rId32" Type="http://schemas.openxmlformats.org/officeDocument/2006/relationships/hyperlink" Target="#__RefHeading___Toc1982_761212699" TargetMode="External"/><Relationship Id="rId37" Type="http://schemas.openxmlformats.org/officeDocument/2006/relationships/hyperlink" Target="#__RefHeading___Toc1988_761212699" TargetMode="External"/><Relationship Id="rId40" Type="http://schemas.openxmlformats.org/officeDocument/2006/relationships/hyperlink" Target="#__RefHeading___Toc1994_761212699" TargetMode="External"/><Relationship Id="rId45" Type="http://schemas.openxmlformats.org/officeDocument/2006/relationships/hyperlink" Target="https://www.corteconti.it/HOME/Documenti/DettaglioDocumenti?Id=38472062-f296-474b-b88b-e08d51948cdd" TargetMode="External"/><Relationship Id="rId5" Type="http://schemas.openxmlformats.org/officeDocument/2006/relationships/footnotes" Target="footnotes.xml"/><Relationship Id="rId15" Type="http://schemas.openxmlformats.org/officeDocument/2006/relationships/hyperlink" Target="#__RefHeading___Toc1952_761212699" TargetMode="External"/><Relationship Id="rId23" Type="http://schemas.openxmlformats.org/officeDocument/2006/relationships/hyperlink" Target="#__RefHeading___Toc1968_761212699" TargetMode="External"/><Relationship Id="rId28" Type="http://schemas.openxmlformats.org/officeDocument/2006/relationships/hyperlink" Target="#__RefHeading___Toc1978_761212699" TargetMode="External"/><Relationship Id="rId36" Type="http://schemas.openxmlformats.org/officeDocument/2006/relationships/hyperlink" Target="#__RefHeading___Toc1986_761212699" TargetMode="External"/><Relationship Id="rId10" Type="http://schemas.openxmlformats.org/officeDocument/2006/relationships/hyperlink" Target="#__RefHeading___Toc1944_761212699" TargetMode="External"/><Relationship Id="rId19" Type="http://schemas.openxmlformats.org/officeDocument/2006/relationships/hyperlink" Target="#__RefHeading___Toc1960_761212699" TargetMode="External"/><Relationship Id="rId31" Type="http://schemas.openxmlformats.org/officeDocument/2006/relationships/hyperlink" Target="#__RefHeading___Toc1980_761212699" TargetMode="External"/><Relationship Id="rId44"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__RefHeading___Toc1942_761212699" TargetMode="External"/><Relationship Id="rId14" Type="http://schemas.openxmlformats.org/officeDocument/2006/relationships/hyperlink" Target="#__RefHeading___Toc1950_761212699" TargetMode="External"/><Relationship Id="rId22" Type="http://schemas.openxmlformats.org/officeDocument/2006/relationships/hyperlink" Target="#__RefHeading___Toc1966_761212699" TargetMode="External"/><Relationship Id="rId27" Type="http://schemas.openxmlformats.org/officeDocument/2006/relationships/hyperlink" Target="#__RefHeading___Toc1976_761212699" TargetMode="External"/><Relationship Id="rId30" Type="http://schemas.openxmlformats.org/officeDocument/2006/relationships/hyperlink" Target="#__RefHeading___Toc1980_761212699" TargetMode="External"/><Relationship Id="rId35" Type="http://schemas.openxmlformats.org/officeDocument/2006/relationships/hyperlink" Target="#__RefHeading___Toc9051_3259834511" TargetMode="External"/><Relationship Id="rId43" Type="http://schemas.openxmlformats.org/officeDocument/2006/relationships/image" Target="media/image1.png"/><Relationship Id="rId48" Type="http://schemas.openxmlformats.org/officeDocument/2006/relationships/theme" Target="theme/theme1.xml"/><Relationship Id="rId8" Type="http://schemas.openxmlformats.org/officeDocument/2006/relationships/hyperlink" Target="#__RefHeading___Toc1940_761212699" TargetMode="External"/><Relationship Id="rId3" Type="http://schemas.openxmlformats.org/officeDocument/2006/relationships/settings" Target="settings.xml"/><Relationship Id="rId12" Type="http://schemas.openxmlformats.org/officeDocument/2006/relationships/hyperlink" Target="#__RefHeading___Toc1946_761212699" TargetMode="External"/><Relationship Id="rId17" Type="http://schemas.openxmlformats.org/officeDocument/2006/relationships/hyperlink" Target="#__RefHeading___Toc1956_761212699" TargetMode="External"/><Relationship Id="rId25" Type="http://schemas.openxmlformats.org/officeDocument/2006/relationships/hyperlink" Target="#__RefHeading___Toc1972_761212699" TargetMode="External"/><Relationship Id="rId33" Type="http://schemas.openxmlformats.org/officeDocument/2006/relationships/hyperlink" Target="#__RefHeading___Toc1984_761212699" TargetMode="External"/><Relationship Id="rId38" Type="http://schemas.openxmlformats.org/officeDocument/2006/relationships/hyperlink" Target="#__RefHeading___Toc1990_761212699" TargetMode="External"/><Relationship Id="rId46" Type="http://schemas.openxmlformats.org/officeDocument/2006/relationships/image" Target="media/image3.png"/><Relationship Id="rId20" Type="http://schemas.openxmlformats.org/officeDocument/2006/relationships/hyperlink" Target="#__RefHeading___Toc1962_761212699" TargetMode="External"/><Relationship Id="rId41" Type="http://schemas.openxmlformats.org/officeDocument/2006/relationships/hyperlink" Target="#__RefHeading___Toc1996_7612126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13304</Words>
  <Characters>75836</Characters>
  <Application>Microsoft Office Word</Application>
  <DocSecurity>0</DocSecurity>
  <Lines>631</Lines>
  <Paragraphs>177</Paragraphs>
  <ScaleCrop>false</ScaleCrop>
  <Company/>
  <LinksUpToDate>false</LinksUpToDate>
  <CharactersWithSpaces>88963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 covi</dc:creator>
  <cp:lastModifiedBy>user</cp:lastModifiedBy>
  <cp:revision>2</cp:revision>
  <cp:lastPrinted>2021-03-30T12:08:00Z</cp:lastPrinted>
  <dcterms:created xsi:type="dcterms:W3CDTF">2022-01-12T16:00:00Z</dcterms:created>
  <dcterms:modified xsi:type="dcterms:W3CDTF">2022-01-12T16:00:00Z</dcterms:modified>
</cp:coreProperties>
</file>